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6"/>
        <w:gridCol w:w="358"/>
        <w:gridCol w:w="1383"/>
        <w:gridCol w:w="2757"/>
        <w:gridCol w:w="1712"/>
        <w:gridCol w:w="628"/>
        <w:gridCol w:w="360"/>
        <w:gridCol w:w="2526"/>
      </w:tblGrid>
      <w:tr w:rsidR="00A93ECB" w14:paraId="345DD6FB" w14:textId="77777777" w:rsidTr="00660BDC">
        <w:trPr>
          <w:jc w:val="center"/>
        </w:trPr>
        <w:tc>
          <w:tcPr>
            <w:tcW w:w="1071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14:paraId="51D6B154" w14:textId="78C475F8" w:rsidR="00A93ECB" w:rsidRPr="00A93ECB" w:rsidRDefault="00A93ECB" w:rsidP="00A93ECB">
            <w:pPr>
              <w:jc w:val="center"/>
              <w:rPr>
                <w:b/>
                <w:bCs/>
              </w:rPr>
            </w:pPr>
            <w:r w:rsidRPr="00A93ECB">
              <w:rPr>
                <w:b/>
                <w:bCs/>
              </w:rPr>
              <w:t>Course Details</w:t>
            </w:r>
          </w:p>
        </w:tc>
      </w:tr>
      <w:tr w:rsidR="00630D3A" w14:paraId="37BF8D85" w14:textId="77777777" w:rsidTr="00A742F8">
        <w:trPr>
          <w:jc w:val="center"/>
        </w:trPr>
        <w:tc>
          <w:tcPr>
            <w:tcW w:w="2727" w:type="dxa"/>
            <w:gridSpan w:val="3"/>
            <w:tcBorders>
              <w:top w:val="single" w:sz="2" w:space="0" w:color="auto"/>
            </w:tcBorders>
          </w:tcPr>
          <w:p w14:paraId="4F315D72" w14:textId="01EFAA7D" w:rsidR="00630D3A" w:rsidRPr="0019565E" w:rsidRDefault="00630D3A" w:rsidP="00226EB2">
            <w:r>
              <w:t>Course Prefix and Number:</w:t>
            </w:r>
          </w:p>
        </w:tc>
        <w:tc>
          <w:tcPr>
            <w:tcW w:w="2757" w:type="dxa"/>
            <w:tcBorders>
              <w:top w:val="single" w:sz="2" w:space="0" w:color="auto"/>
            </w:tcBorders>
          </w:tcPr>
          <w:p w14:paraId="33DAC72A" w14:textId="3AC6D3C4" w:rsidR="00630D3A" w:rsidRPr="0019565E" w:rsidRDefault="00630D3A" w:rsidP="00226EB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712" w:type="dxa"/>
            <w:tcBorders>
              <w:top w:val="single" w:sz="2" w:space="0" w:color="auto"/>
            </w:tcBorders>
          </w:tcPr>
          <w:p w14:paraId="096D77AD" w14:textId="083973E5" w:rsidR="00630D3A" w:rsidRPr="0019565E" w:rsidRDefault="00630D3A" w:rsidP="00226EB2">
            <w:r>
              <w:t xml:space="preserve">Proposer Name: </w:t>
            </w:r>
          </w:p>
        </w:tc>
        <w:tc>
          <w:tcPr>
            <w:tcW w:w="3514" w:type="dxa"/>
            <w:gridSpan w:val="3"/>
            <w:tcBorders>
              <w:top w:val="single" w:sz="2" w:space="0" w:color="auto"/>
            </w:tcBorders>
          </w:tcPr>
          <w:p w14:paraId="4794EFC7" w14:textId="416657DE" w:rsidR="00630D3A" w:rsidRDefault="00630D3A" w:rsidP="00226EB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30D3A" w14:paraId="7B439BB6" w14:textId="77777777" w:rsidTr="00A742F8">
        <w:trPr>
          <w:jc w:val="center"/>
        </w:trPr>
        <w:tc>
          <w:tcPr>
            <w:tcW w:w="1344" w:type="dxa"/>
            <w:gridSpan w:val="2"/>
            <w:shd w:val="clear" w:color="auto" w:fill="F2F2F2" w:themeFill="background1" w:themeFillShade="F2"/>
          </w:tcPr>
          <w:p w14:paraId="0AAC93D2" w14:textId="355D8340" w:rsidR="00630D3A" w:rsidRPr="0019565E" w:rsidRDefault="00630D3A" w:rsidP="00226EB2">
            <w:r>
              <w:t>Course Title:</w:t>
            </w:r>
          </w:p>
        </w:tc>
        <w:tc>
          <w:tcPr>
            <w:tcW w:w="4140" w:type="dxa"/>
            <w:gridSpan w:val="2"/>
            <w:shd w:val="clear" w:color="auto" w:fill="F2F2F2" w:themeFill="background1" w:themeFillShade="F2"/>
          </w:tcPr>
          <w:p w14:paraId="19AF8402" w14:textId="0E9A592F" w:rsidR="00630D3A" w:rsidRPr="0019565E" w:rsidRDefault="00630D3A" w:rsidP="00A93ECB">
            <w:pPr>
              <w:tabs>
                <w:tab w:val="right" w:pos="3924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 w:rsidR="00A93ECB">
              <w:tab/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503A6AC5" w14:textId="486E2D79" w:rsidR="00630D3A" w:rsidRPr="0019565E" w:rsidRDefault="00630D3A" w:rsidP="00226EB2">
            <w:r>
              <w:t xml:space="preserve">Proposer Email/Phone: </w:t>
            </w:r>
          </w:p>
        </w:tc>
        <w:tc>
          <w:tcPr>
            <w:tcW w:w="2886" w:type="dxa"/>
            <w:gridSpan w:val="2"/>
            <w:shd w:val="clear" w:color="auto" w:fill="F2F2F2" w:themeFill="background1" w:themeFillShade="F2"/>
          </w:tcPr>
          <w:p w14:paraId="6C1EF901" w14:textId="49E0F4AE" w:rsidR="00630D3A" w:rsidRDefault="00630D3A" w:rsidP="00226EB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742F8" w14:paraId="4D06217B" w14:textId="77777777" w:rsidTr="00A742F8">
        <w:trPr>
          <w:jc w:val="center"/>
        </w:trPr>
        <w:tc>
          <w:tcPr>
            <w:tcW w:w="986" w:type="dxa"/>
            <w:shd w:val="clear" w:color="auto" w:fill="auto"/>
          </w:tcPr>
          <w:p w14:paraId="52537494" w14:textId="1E657125" w:rsidR="00A742F8" w:rsidRDefault="00A742F8" w:rsidP="00226EB2">
            <w:r>
              <w:t>College: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66AC2D07" w14:textId="51A88F9C" w:rsidR="00A742F8" w:rsidRDefault="00A742F8" w:rsidP="00A93ECB">
            <w:pPr>
              <w:tabs>
                <w:tab w:val="right" w:pos="3924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12" w:type="dxa"/>
            <w:shd w:val="clear" w:color="auto" w:fill="auto"/>
          </w:tcPr>
          <w:p w14:paraId="76484885" w14:textId="12C95786" w:rsidR="00A742F8" w:rsidRDefault="00A742F8" w:rsidP="00226EB2">
            <w:r>
              <w:t>Date of Review:</w:t>
            </w:r>
          </w:p>
        </w:tc>
        <w:tc>
          <w:tcPr>
            <w:tcW w:w="3514" w:type="dxa"/>
            <w:gridSpan w:val="3"/>
            <w:shd w:val="clear" w:color="auto" w:fill="auto"/>
          </w:tcPr>
          <w:p w14:paraId="4E13147F" w14:textId="39E65D75" w:rsidR="00A742F8" w:rsidRDefault="00A742F8" w:rsidP="00226EB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30D3A" w14:paraId="2FD0A0F7" w14:textId="77777777" w:rsidTr="00660BDC">
        <w:trPr>
          <w:jc w:val="center"/>
        </w:trPr>
        <w:tc>
          <w:tcPr>
            <w:tcW w:w="10710" w:type="dxa"/>
            <w:gridSpan w:val="8"/>
            <w:tcBorders>
              <w:bottom w:val="single" w:sz="2" w:space="0" w:color="auto"/>
            </w:tcBorders>
          </w:tcPr>
          <w:p w14:paraId="7F5660E8" w14:textId="3538E394" w:rsidR="00630D3A" w:rsidRPr="00A93ECB" w:rsidRDefault="00630D3A" w:rsidP="00226EB2">
            <w:pPr>
              <w:rPr>
                <w:sz w:val="14"/>
                <w:szCs w:val="12"/>
              </w:rPr>
            </w:pPr>
          </w:p>
        </w:tc>
      </w:tr>
      <w:tr w:rsidR="00226EB2" w14:paraId="2ABEC8E0" w14:textId="77777777" w:rsidTr="00660BDC">
        <w:trPr>
          <w:jc w:val="center"/>
        </w:trPr>
        <w:tc>
          <w:tcPr>
            <w:tcW w:w="1071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14:paraId="6A827B3D" w14:textId="4672E2CC" w:rsidR="00226EB2" w:rsidRPr="00A93ECB" w:rsidRDefault="00226EB2" w:rsidP="00226EB2">
            <w:pPr>
              <w:jc w:val="center"/>
              <w:rPr>
                <w:b/>
                <w:bCs/>
              </w:rPr>
            </w:pPr>
            <w:r w:rsidRPr="00A93ECB">
              <w:rPr>
                <w:b/>
                <w:bCs/>
              </w:rPr>
              <w:t>Basic Information</w:t>
            </w:r>
          </w:p>
        </w:tc>
      </w:tr>
      <w:tr w:rsidR="00A742F8" w14:paraId="73DB6165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667B395F" w14:textId="77777777" w:rsidR="00A742F8" w:rsidRPr="0019565E" w:rsidRDefault="00A742F8" w:rsidP="00A742F8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  <w:szCs w:val="22"/>
              </w:rPr>
              <w:t>Course prefix and number in Curriculog and syllabus match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054E4D4" w14:textId="43198A8D" w:rsidR="00A742F8" w:rsidRDefault="001A3AD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bookmarkEnd w:id="7"/>
            <w:r w:rsidR="00A742F8"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bookmarkEnd w:id="8"/>
            <w:r w:rsidR="00A742F8">
              <w:t xml:space="preserve"> No</w:t>
            </w:r>
          </w:p>
        </w:tc>
      </w:tr>
      <w:tr w:rsidR="00A742F8" w14:paraId="7F40C5F2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F2F2F2" w:themeFill="background1" w:themeFillShade="F2"/>
          </w:tcPr>
          <w:p w14:paraId="2D241F13" w14:textId="77777777" w:rsidR="00A742F8" w:rsidRPr="0019565E" w:rsidRDefault="00A742F8" w:rsidP="00A742F8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  <w:szCs w:val="22"/>
              </w:rPr>
              <w:t>Full title of the course in Curriculog and syllabus match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DC8E688" w14:textId="77777777" w:rsidR="00A742F8" w:rsidRDefault="00A742F8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742F8" w14:paraId="69FCB4DC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5E6DDFF2" w14:textId="77777777" w:rsidR="00A742F8" w:rsidRPr="0019565E" w:rsidRDefault="00A742F8" w:rsidP="00A742F8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</w:rPr>
              <w:t>Course housed in academic/educational unit</w:t>
            </w:r>
          </w:p>
        </w:tc>
        <w:tc>
          <w:tcPr>
            <w:tcW w:w="2526" w:type="dxa"/>
            <w:shd w:val="clear" w:color="auto" w:fill="auto"/>
          </w:tcPr>
          <w:p w14:paraId="383525ED" w14:textId="77777777" w:rsidR="00A742F8" w:rsidRDefault="00A742F8" w:rsidP="00226EB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742F8" w14:paraId="4C7FF6C8" w14:textId="77777777" w:rsidTr="009D7EFE">
        <w:trPr>
          <w:jc w:val="center"/>
        </w:trPr>
        <w:tc>
          <w:tcPr>
            <w:tcW w:w="8184" w:type="dxa"/>
            <w:gridSpan w:val="7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761298D" w14:textId="160FC3D3" w:rsidR="00A742F8" w:rsidRPr="0019565E" w:rsidRDefault="00A742F8" w:rsidP="00A742F8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</w:rPr>
              <w:t xml:space="preserve">Course is </w:t>
            </w:r>
            <w:r w:rsidR="00476FD2">
              <w:rPr>
                <w:rFonts w:asciiTheme="minorHAnsi" w:hAnsiTheme="minorHAnsi" w:cstheme="minorHAnsi"/>
              </w:rPr>
              <w:t xml:space="preserve">not an obvious </w:t>
            </w:r>
            <w:r w:rsidRPr="00A742F8">
              <w:rPr>
                <w:rFonts w:asciiTheme="minorHAnsi" w:hAnsiTheme="minorHAnsi" w:cstheme="minorHAnsi"/>
              </w:rPr>
              <w:t>duplication of another course already offered on campus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252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83CDEE" w14:textId="77777777" w:rsidR="00A742F8" w:rsidRDefault="00A742F8" w:rsidP="00226EB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D7EFE" w14:paraId="1C4C941D" w14:textId="77777777" w:rsidTr="009D7EFE">
        <w:trPr>
          <w:jc w:val="center"/>
        </w:trPr>
        <w:tc>
          <w:tcPr>
            <w:tcW w:w="818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3228EF69" w14:textId="7F2C7CB3" w:rsidR="009D7EFE" w:rsidRPr="009D7EF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Theme="minorHAnsi" w:hAnsiTheme="minorHAnsi" w:cstheme="minorHAnsi"/>
              </w:rPr>
            </w:pPr>
            <w:bookmarkStart w:id="9" w:name="_Hlk112754140"/>
            <w:r w:rsidRPr="009D7EFE">
              <w:rPr>
                <w:rFonts w:asciiTheme="minorHAnsi" w:hAnsiTheme="minorHAnsi" w:cstheme="minorHAnsi"/>
              </w:rPr>
              <w:t>Course prerequisites are enforceable</w:t>
            </w:r>
            <w:r w:rsidRPr="009D7EFE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bookmarkEnd w:id="9"/>
          </w:p>
        </w:tc>
        <w:tc>
          <w:tcPr>
            <w:tcW w:w="2526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7755BB8" w14:textId="0EBDEDF5" w:rsidR="009D7EFE" w:rsidRDefault="00055FE4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D7EFE" w14:paraId="6FCBFD89" w14:textId="77777777" w:rsidTr="009D7EFE">
        <w:trPr>
          <w:jc w:val="center"/>
        </w:trPr>
        <w:tc>
          <w:tcPr>
            <w:tcW w:w="8184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DBF99E5" w14:textId="35256B38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</w:rPr>
              <w:t>Course prerequisites in Curriculog and syllabus match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252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A7FB191" w14:textId="0BA59D07" w:rsidR="009D7EFE" w:rsidRDefault="00055FE4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D7EFE" w14:paraId="0F727675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1070AAC0" w14:textId="77777777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  <w:szCs w:val="22"/>
              </w:rPr>
              <w:t>Course description in Curriculog and syllabus match</w:t>
            </w:r>
            <w:r>
              <w:rPr>
                <w:rStyle w:val="FootnoteReference"/>
                <w:rFonts w:asciiTheme="minorHAnsi" w:hAnsiTheme="minorHAnsi" w:cstheme="minorHAnsi"/>
                <w:szCs w:val="22"/>
              </w:rPr>
              <w:footnoteReference w:id="4"/>
            </w:r>
          </w:p>
        </w:tc>
        <w:tc>
          <w:tcPr>
            <w:tcW w:w="2526" w:type="dxa"/>
            <w:shd w:val="clear" w:color="auto" w:fill="auto"/>
          </w:tcPr>
          <w:p w14:paraId="4D534B09" w14:textId="77777777" w:rsidR="009D7EFE" w:rsidRDefault="009D7EFE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D7EFE" w14:paraId="3B2F8F3B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F2F2F2" w:themeFill="background1" w:themeFillShade="F2"/>
          </w:tcPr>
          <w:p w14:paraId="36C31B09" w14:textId="77777777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  <w:szCs w:val="22"/>
              </w:rPr>
              <w:t>Number of credit hours in Curriculog (whole numbers) and contact hours</w:t>
            </w:r>
            <w:r>
              <w:rPr>
                <w:rStyle w:val="FootnoteReference"/>
                <w:rFonts w:asciiTheme="minorHAnsi" w:hAnsiTheme="minorHAnsi" w:cstheme="minorHAnsi"/>
                <w:szCs w:val="22"/>
              </w:rPr>
              <w:footnoteReference w:id="5"/>
            </w:r>
            <w:r w:rsidRPr="00A742F8">
              <w:rPr>
                <w:rFonts w:asciiTheme="minorHAnsi" w:hAnsiTheme="minorHAnsi" w:cstheme="minorHAnsi"/>
                <w:szCs w:val="22"/>
              </w:rPr>
              <w:t xml:space="preserve"> match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75F10A93" w14:textId="77777777" w:rsidR="009D7EFE" w:rsidRDefault="009D7EFE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D7EFE" w14:paraId="7E8F2D86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31624EA1" w14:textId="78000DFC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</w:rPr>
              <w:t>Meeting pattern in Curriculog and syllabus match (see SR 10.6)</w:t>
            </w:r>
          </w:p>
        </w:tc>
        <w:tc>
          <w:tcPr>
            <w:tcW w:w="2526" w:type="dxa"/>
            <w:shd w:val="clear" w:color="auto" w:fill="auto"/>
          </w:tcPr>
          <w:p w14:paraId="236F43F7" w14:textId="46B12007" w:rsidR="009D7EFE" w:rsidRDefault="009D7EFE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9D7EFE" w14:paraId="28282491" w14:textId="77777777" w:rsidTr="009D7EFE">
        <w:trPr>
          <w:jc w:val="center"/>
        </w:trPr>
        <w:tc>
          <w:tcPr>
            <w:tcW w:w="8184" w:type="dxa"/>
            <w:gridSpan w:val="7"/>
            <w:shd w:val="clear" w:color="auto" w:fill="F2F2F2" w:themeFill="background1" w:themeFillShade="F2"/>
          </w:tcPr>
          <w:p w14:paraId="29459449" w14:textId="77777777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A742F8">
              <w:rPr>
                <w:rFonts w:asciiTheme="minorHAnsi" w:hAnsiTheme="minorHAnsi" w:cstheme="minorHAnsi"/>
              </w:rPr>
              <w:t>Repeatability, multiple registrations within a semester, and variable credit are correctly requested</w:t>
            </w:r>
            <w:r>
              <w:rPr>
                <w:rStyle w:val="FootnoteReference"/>
                <w:rFonts w:asciiTheme="minorHAnsi" w:hAnsiTheme="minorHAnsi" w:cstheme="minorHAnsi"/>
              </w:rPr>
              <w:footnoteReference w:id="6"/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6D567089" w14:textId="3C6192D1" w:rsidR="009D7EFE" w:rsidRDefault="00BA5DA3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A02ED" w14:paraId="2BEBD779" w14:textId="77777777" w:rsidTr="00AF6DF0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126E5091" w14:textId="4C67E3B8" w:rsidR="008A02ED" w:rsidRPr="00AF6DF0" w:rsidRDefault="008A02ED" w:rsidP="00AF6DF0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Theme="minorHAnsi" w:hAnsiTheme="minorHAnsi" w:cstheme="minorHAnsi"/>
              </w:rPr>
            </w:pPr>
            <w:r w:rsidRPr="00AF6DF0">
              <w:rPr>
                <w:rFonts w:asciiTheme="minorHAnsi" w:hAnsiTheme="minorHAnsi" w:cstheme="minorHAnsi"/>
                <w:i/>
                <w:iCs/>
              </w:rPr>
              <w:t>[For course changes, only]</w:t>
            </w:r>
            <w:r w:rsidRPr="00AF6DF0">
              <w:rPr>
                <w:rFonts w:asciiTheme="minorHAnsi" w:hAnsiTheme="minorHAnsi" w:cstheme="minorHAnsi"/>
              </w:rPr>
              <w:t xml:space="preserve"> The series of checkboxes describing the types of changes matches the types of changes proposed elsewhere in the form.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D1579BB" w14:textId="25D5F415" w:rsidR="008A02ED" w:rsidRPr="00AF6DF0" w:rsidRDefault="00BA5DA3" w:rsidP="009D7EFE">
            <w:r w:rsidRPr="00AF6DF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F0">
              <w:instrText xml:space="preserve"> FORMCHECKBOX </w:instrText>
            </w:r>
            <w:r w:rsidR="00D120E4">
              <w:fldChar w:fldCharType="separate"/>
            </w:r>
            <w:r w:rsidRPr="00AF6DF0">
              <w:fldChar w:fldCharType="end"/>
            </w:r>
            <w:r w:rsidRPr="00AF6DF0">
              <w:t xml:space="preserve"> Yes    </w:t>
            </w:r>
            <w:r w:rsidRPr="00AF6DF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F0">
              <w:instrText xml:space="preserve"> FORMCHECKBOX </w:instrText>
            </w:r>
            <w:r w:rsidR="00D120E4">
              <w:fldChar w:fldCharType="separate"/>
            </w:r>
            <w:r w:rsidRPr="00AF6DF0">
              <w:fldChar w:fldCharType="end"/>
            </w:r>
            <w:r w:rsidRPr="00AF6DF0">
              <w:t xml:space="preserve"> No    </w:t>
            </w:r>
            <w:r w:rsidRPr="00AF6DF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F0">
              <w:instrText xml:space="preserve"> FORMCHECKBOX </w:instrText>
            </w:r>
            <w:r w:rsidR="00D120E4">
              <w:fldChar w:fldCharType="separate"/>
            </w:r>
            <w:r w:rsidRPr="00AF6DF0">
              <w:fldChar w:fldCharType="end"/>
            </w:r>
            <w:r w:rsidRPr="00AF6DF0">
              <w:t xml:space="preserve"> N/A</w:t>
            </w:r>
          </w:p>
        </w:tc>
      </w:tr>
      <w:tr w:rsidR="009D7EFE" w14:paraId="206FA362" w14:textId="77777777" w:rsidTr="00FB71FE">
        <w:trPr>
          <w:jc w:val="center"/>
        </w:trPr>
        <w:tc>
          <w:tcPr>
            <w:tcW w:w="8184" w:type="dxa"/>
            <w:gridSpan w:val="7"/>
            <w:shd w:val="clear" w:color="auto" w:fill="F2F2F2" w:themeFill="background1" w:themeFillShade="F2"/>
          </w:tcPr>
          <w:p w14:paraId="6D9739B5" w14:textId="5E18E0CE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476FD2">
              <w:rPr>
                <w:rFonts w:asciiTheme="minorHAnsi" w:hAnsiTheme="minorHAnsi" w:cstheme="minorHAnsi"/>
                <w:i/>
                <w:iCs/>
                <w:szCs w:val="22"/>
              </w:rPr>
              <w:t>[For course changes, only]</w:t>
            </w:r>
            <w:r w:rsidRPr="00A742F8">
              <w:rPr>
                <w:rFonts w:asciiTheme="minorHAnsi" w:hAnsiTheme="minorHAnsi" w:cstheme="minorHAnsi"/>
                <w:szCs w:val="22"/>
              </w:rPr>
              <w:t xml:space="preserve"> Course descriptions in Curriculog and syllabus match description in </w:t>
            </w:r>
            <w:r w:rsidR="001A3AD0">
              <w:rPr>
                <w:rFonts w:asciiTheme="minorHAnsi" w:hAnsiTheme="minorHAnsi" w:cstheme="minorHAnsi"/>
                <w:szCs w:val="22"/>
              </w:rPr>
              <w:t>Schedule of Classes</w:t>
            </w:r>
            <w:r w:rsidR="00BA5DA3">
              <w:rPr>
                <w:rFonts w:asciiTheme="minorHAnsi" w:hAnsiTheme="minorHAnsi" w:cstheme="minorHAnsi"/>
                <w:szCs w:val="22"/>
              </w:rPr>
              <w:t xml:space="preserve"> (unless description is changing)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D8DB543" w14:textId="74D87D0C" w:rsidR="009D7EFE" w:rsidRDefault="00BA5DA3" w:rsidP="00BC4D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A5DA3" w14:paraId="0BCE1B2F" w14:textId="77777777" w:rsidTr="00BC4DD3">
        <w:trPr>
          <w:jc w:val="center"/>
        </w:trPr>
        <w:tc>
          <w:tcPr>
            <w:tcW w:w="8184" w:type="dxa"/>
            <w:gridSpan w:val="7"/>
            <w:shd w:val="clear" w:color="auto" w:fill="auto"/>
          </w:tcPr>
          <w:p w14:paraId="0C1D7134" w14:textId="2D3C33A1" w:rsidR="00BA5DA3" w:rsidRPr="00AF6DF0" w:rsidRDefault="00BA5DA3" w:rsidP="00AF6DF0">
            <w:pPr>
              <w:pStyle w:val="ListParagraph"/>
              <w:numPr>
                <w:ilvl w:val="0"/>
                <w:numId w:val="1"/>
              </w:numPr>
              <w:ind w:left="341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AF6DF0">
              <w:rPr>
                <w:rFonts w:asciiTheme="minorHAnsi" w:hAnsiTheme="minorHAnsi" w:cstheme="minorHAnsi"/>
                <w:i/>
                <w:iCs/>
                <w:szCs w:val="22"/>
              </w:rPr>
              <w:t xml:space="preserve">[For new courses, only] </w:t>
            </w:r>
            <w:r w:rsidRPr="00AF6DF0">
              <w:rPr>
                <w:rFonts w:asciiTheme="minorHAnsi" w:hAnsiTheme="minorHAnsi" w:cstheme="minorHAnsi"/>
                <w:iCs/>
                <w:szCs w:val="22"/>
              </w:rPr>
              <w:t>Course descriptions in Curriculog and syllabus match</w:t>
            </w:r>
            <w:r w:rsidRPr="00AF6DF0">
              <w:rPr>
                <w:rFonts w:asciiTheme="minorHAnsi" w:hAnsiTheme="minorHAnsi" w:cstheme="minorHAnsi"/>
                <w:i/>
                <w:iCs/>
                <w:szCs w:val="22"/>
              </w:rPr>
              <w:t xml:space="preserve">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08C921C" w14:textId="7EE078E0" w:rsidR="00BA5DA3" w:rsidRDefault="00BA5DA3" w:rsidP="00BC4DD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D7EFE" w14:paraId="099A4E88" w14:textId="77777777" w:rsidTr="00FB71FE">
        <w:trPr>
          <w:jc w:val="center"/>
        </w:trPr>
        <w:tc>
          <w:tcPr>
            <w:tcW w:w="8184" w:type="dxa"/>
            <w:gridSpan w:val="7"/>
            <w:shd w:val="clear" w:color="auto" w:fill="F2F2F2" w:themeFill="background1" w:themeFillShade="F2"/>
          </w:tcPr>
          <w:p w14:paraId="2B908EAB" w14:textId="64A476A2" w:rsidR="009D7EFE" w:rsidRPr="0019565E" w:rsidRDefault="009D7EFE" w:rsidP="009D7EFE">
            <w:pPr>
              <w:pStyle w:val="ListParagraph"/>
              <w:numPr>
                <w:ilvl w:val="0"/>
                <w:numId w:val="1"/>
              </w:numPr>
              <w:ind w:left="345"/>
            </w:pPr>
            <w:r w:rsidRPr="00476FD2">
              <w:rPr>
                <w:rFonts w:asciiTheme="minorHAnsi" w:hAnsiTheme="minorHAnsi" w:cstheme="minorHAnsi"/>
                <w:i/>
                <w:iCs/>
              </w:rPr>
              <w:t>[For undergraduate graduation composition and communication requirement (GCCR) courses, only]</w:t>
            </w:r>
            <w:r w:rsidRPr="00A742F8">
              <w:rPr>
                <w:rFonts w:asciiTheme="minorHAnsi" w:hAnsiTheme="minorHAnsi" w:cstheme="minorHAnsi"/>
              </w:rPr>
              <w:t xml:space="preserve"> Includes</w:t>
            </w:r>
            <w:r w:rsidR="00852B02">
              <w:rPr>
                <w:rFonts w:asciiTheme="minorHAnsi" w:hAnsiTheme="minorHAnsi" w:cstheme="minorHAnsi"/>
              </w:rPr>
              <w:t>:</w:t>
            </w:r>
            <w:r w:rsidRPr="00A742F8">
              <w:rPr>
                <w:rFonts w:asciiTheme="minorHAnsi" w:hAnsiTheme="minorHAnsi" w:cstheme="minorHAnsi"/>
              </w:rPr>
              <w:t xml:space="preserve"> draft/feedback/revision process for </w:t>
            </w:r>
            <w:r w:rsidR="00852B02">
              <w:rPr>
                <w:rFonts w:asciiTheme="minorHAnsi" w:hAnsiTheme="minorHAnsi" w:cstheme="minorHAnsi"/>
              </w:rPr>
              <w:t xml:space="preserve">at least one required </w:t>
            </w:r>
            <w:r w:rsidRPr="00A742F8">
              <w:rPr>
                <w:rFonts w:asciiTheme="minorHAnsi" w:hAnsiTheme="minorHAnsi" w:cstheme="minorHAnsi"/>
              </w:rPr>
              <w:t>GCCR assignment</w:t>
            </w:r>
            <w:r w:rsidR="00852B02">
              <w:rPr>
                <w:rFonts w:asciiTheme="minorHAnsi" w:hAnsiTheme="minorHAnsi" w:cstheme="minorHAnsi"/>
              </w:rPr>
              <w:t>; an oral or visual assignment in which students create at least one significant visual/electronic artifact; and an assignment requiring</w:t>
            </w:r>
            <w:r w:rsidRPr="00A742F8">
              <w:rPr>
                <w:rFonts w:asciiTheme="minorHAnsi" w:hAnsiTheme="minorHAnsi" w:cstheme="minorHAnsi"/>
              </w:rPr>
              <w:t xml:space="preserve"> demonstration of information literacy</w:t>
            </w:r>
            <w:r w:rsidR="00852B02">
              <w:rPr>
                <w:rFonts w:asciiTheme="minorHAnsi" w:hAnsiTheme="minorHAnsi" w:cstheme="minorHAnsi"/>
              </w:rPr>
              <w:t xml:space="preserve"> in the discipline</w:t>
            </w:r>
            <w:r w:rsidR="00852B02">
              <w:rPr>
                <w:rStyle w:val="FootnoteReference"/>
                <w:rFonts w:asciiTheme="minorHAnsi" w:hAnsiTheme="minorHAnsi" w:cstheme="minorHAnsi"/>
              </w:rPr>
              <w:footnoteReference w:id="7"/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63BDF62F" w14:textId="77777777" w:rsidR="009D7EFE" w:rsidRDefault="009D7EFE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BC4BC2" w14:paraId="5414DD4D" w14:textId="77777777" w:rsidTr="006C3398">
        <w:trPr>
          <w:jc w:val="center"/>
        </w:trPr>
        <w:tc>
          <w:tcPr>
            <w:tcW w:w="10710" w:type="dxa"/>
            <w:gridSpan w:val="8"/>
            <w:shd w:val="clear" w:color="auto" w:fill="F2F2F2" w:themeFill="background1" w:themeFillShade="F2"/>
          </w:tcPr>
          <w:p w14:paraId="69ED6A53" w14:textId="3E3735BB" w:rsidR="00BC4BC2" w:rsidRDefault="00BC4BC2" w:rsidP="00BC4BC2">
            <w:pPr>
              <w:jc w:val="center"/>
            </w:pPr>
            <w:r w:rsidRPr="00BC4BC2">
              <w:rPr>
                <w:color w:val="A6A6A6" w:themeColor="background1" w:themeShade="A6"/>
              </w:rPr>
              <w:t>Continued….</w:t>
            </w:r>
          </w:p>
        </w:tc>
      </w:tr>
    </w:tbl>
    <w:p w14:paraId="72B65465" w14:textId="57D0A8FE" w:rsidR="00BC4BC2" w:rsidRDefault="00BC4BC2"/>
    <w:p w14:paraId="7AEFED50" w14:textId="61701C7B" w:rsidR="00BC4BC2" w:rsidRDefault="00BC4BC2"/>
    <w:p w14:paraId="250195CB" w14:textId="48DC50EE" w:rsidR="00BC4BC2" w:rsidRDefault="00BC4BC2"/>
    <w:p w14:paraId="47199F8A" w14:textId="3D0A4C3F" w:rsidR="00BC4BC2" w:rsidRDefault="00BC4BC2"/>
    <w:tbl>
      <w:tblPr>
        <w:tblStyle w:val="TableGrid"/>
        <w:tblW w:w="10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84"/>
        <w:gridCol w:w="2526"/>
      </w:tblGrid>
      <w:tr w:rsidR="009D7EFE" w14:paraId="47BE2BBA" w14:textId="77777777" w:rsidTr="00660BDC">
        <w:trPr>
          <w:jc w:val="center"/>
        </w:trPr>
        <w:tc>
          <w:tcPr>
            <w:tcW w:w="107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14:paraId="10F5FB81" w14:textId="38C64288" w:rsidR="009D7EFE" w:rsidRPr="00A93ECB" w:rsidRDefault="009D7EFE" w:rsidP="009D7EFE">
            <w:pPr>
              <w:jc w:val="center"/>
              <w:rPr>
                <w:b/>
                <w:bCs/>
              </w:rPr>
            </w:pPr>
            <w:r w:rsidRPr="00A93ECB">
              <w:rPr>
                <w:rFonts w:asciiTheme="minorHAnsi" w:hAnsiTheme="minorHAnsi" w:cstheme="minorHAnsi"/>
                <w:b/>
                <w:bCs/>
              </w:rPr>
              <w:lastRenderedPageBreak/>
              <w:t>Syllabus Review</w:t>
            </w:r>
            <w:r w:rsidRPr="00A93ECB">
              <w:rPr>
                <w:rStyle w:val="FootnoteReference"/>
                <w:rFonts w:asciiTheme="minorHAnsi" w:hAnsiTheme="minorHAnsi" w:cstheme="minorHAnsi"/>
                <w:b/>
                <w:bCs/>
              </w:rPr>
              <w:footnoteReference w:id="8"/>
            </w:r>
          </w:p>
        </w:tc>
      </w:tr>
      <w:tr w:rsidR="009D7EFE" w14:paraId="0FD0B5F0" w14:textId="77777777" w:rsidTr="00660BDC">
        <w:trPr>
          <w:jc w:val="center"/>
        </w:trPr>
        <w:tc>
          <w:tcPr>
            <w:tcW w:w="1071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6F0D2B7" w14:textId="17DDDF4E" w:rsidR="009D7EFE" w:rsidRPr="00FF514E" w:rsidRDefault="009D7EFE" w:rsidP="009D7EFE">
            <w:pPr>
              <w:jc w:val="center"/>
              <w:rPr>
                <w:i/>
                <w:iCs/>
              </w:rPr>
            </w:pPr>
            <w:r w:rsidRPr="00FF514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S</w:t>
            </w:r>
            <w:r w:rsidR="00852B0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ection 6 of the Senate </w:t>
            </w:r>
            <w:r w:rsidRPr="00FF514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Rules </w:t>
            </w:r>
            <w:r w:rsidR="00852B0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d</w:t>
            </w:r>
            <w:r w:rsidRPr="00FF514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escribes minimum information that must be included in a syllabus. Use the boxes below to note if the attached syllabus includes a </w:t>
            </w:r>
            <w:proofErr w:type="gramStart"/>
            <w:r w:rsidRPr="00FF514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particular component</w:t>
            </w:r>
            <w:proofErr w:type="gramEnd"/>
            <w:r w:rsidRPr="00FF514E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 xml:space="preserve"> (“Yes”), or if the proposer must revise the syllabus and add it (“No”)</w:t>
            </w:r>
          </w:p>
        </w:tc>
      </w:tr>
      <w:tr w:rsidR="00BC4BC2" w14:paraId="228F9CC3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192BB0DE" w14:textId="77777777" w:rsidR="00BC4BC2" w:rsidRPr="00FF514E" w:rsidRDefault="00BC4BC2" w:rsidP="009D7EFE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476FD2">
              <w:rPr>
                <w:i/>
                <w:iCs/>
              </w:rPr>
              <w:t>[For course changes, only]</w:t>
            </w:r>
            <w:r w:rsidRPr="00FF514E">
              <w:t xml:space="preserve"> Full and accurate title of course corresponding to the title in the </w:t>
            </w:r>
            <w:r>
              <w:t>Schedule of Classes</w:t>
            </w:r>
            <w:r w:rsidRPr="00FF514E">
              <w:t xml:space="preserve"> </w:t>
            </w:r>
            <w:r>
              <w:t xml:space="preserve"> 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3C2CED12" w14:textId="77777777" w:rsidR="00BC4BC2" w:rsidRPr="00FF514E" w:rsidRDefault="00BC4BC2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9D7EFE" w14:paraId="7055F213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3FF5EF16" w14:textId="0A2D4BF7" w:rsidR="009D7EFE" w:rsidRPr="00FF514E" w:rsidRDefault="009D7EFE" w:rsidP="009D7EFE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>Course prefix, course number, and course section number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8E1FA8E" w14:textId="68930DE7" w:rsidR="009D7EFE" w:rsidRPr="00FF514E" w:rsidRDefault="009D7EFE" w:rsidP="009D7EFE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9D7EFE" w14:paraId="31818115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2C34B099" w14:textId="2308A2BF" w:rsidR="009D7EFE" w:rsidRPr="00FF514E" w:rsidRDefault="009D7EFE" w:rsidP="009D7EFE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>Instructor’s contact information</w:t>
            </w:r>
            <w:r w:rsidRPr="00FF514E">
              <w:rPr>
                <w:rStyle w:val="FootnoteReference"/>
              </w:rPr>
              <w:footnoteReference w:id="9"/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7C67B46C" w14:textId="74374A51" w:rsidR="009D7EFE" w:rsidRPr="00FF514E" w:rsidRDefault="009D7EFE" w:rsidP="009D7EFE"/>
        </w:tc>
      </w:tr>
      <w:tr w:rsidR="009D7EFE" w14:paraId="4031D7A3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719A4430" w14:textId="4D708315" w:rsidR="009D7EFE" w:rsidRPr="00FF514E" w:rsidRDefault="009D7EFE" w:rsidP="009D7EFE">
            <w:pPr>
              <w:pStyle w:val="ListParagraph"/>
              <w:numPr>
                <w:ilvl w:val="0"/>
                <w:numId w:val="2"/>
              </w:numPr>
            </w:pPr>
            <w:r w:rsidRPr="00FF514E">
              <w:t>Instructor office location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636D262" w14:textId="63764CE0" w:rsidR="009D7EFE" w:rsidRPr="00FF514E" w:rsidRDefault="009D7EFE" w:rsidP="009D7EFE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9D7EFE" w14:paraId="20F05361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4F2B3029" w14:textId="7B092B2C" w:rsidR="009D7EFE" w:rsidRPr="00FF514E" w:rsidRDefault="009D7EFE" w:rsidP="009D7EFE">
            <w:pPr>
              <w:pStyle w:val="ListParagraph"/>
              <w:numPr>
                <w:ilvl w:val="0"/>
                <w:numId w:val="2"/>
              </w:numPr>
            </w:pPr>
            <w:r w:rsidRPr="00FF514E">
              <w:t>Instructor office phone number including area code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46E3819E" w14:textId="77C490D1" w:rsidR="009D7EFE" w:rsidRPr="00FF514E" w:rsidRDefault="009D7EFE" w:rsidP="009D7EFE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9D7EFE" w14:paraId="621ABF87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5D635B2B" w14:textId="79E6C999" w:rsidR="009D7EFE" w:rsidRPr="00FF514E" w:rsidRDefault="009D7EFE" w:rsidP="009D7EFE">
            <w:pPr>
              <w:pStyle w:val="ListParagraph"/>
              <w:numPr>
                <w:ilvl w:val="0"/>
                <w:numId w:val="2"/>
              </w:numPr>
            </w:pPr>
            <w:r w:rsidRPr="00FF514E">
              <w:t>Instructor official UK email address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7AD6579" w14:textId="3E307A7B" w:rsidR="009D7EFE" w:rsidRPr="00FF514E" w:rsidRDefault="009D7EFE" w:rsidP="009D7EFE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9D7EFE" w14:paraId="02F59218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04E29233" w14:textId="4255A6A7" w:rsidR="009D7EFE" w:rsidRPr="00FF514E" w:rsidRDefault="009D7EFE" w:rsidP="009D7EFE">
            <w:pPr>
              <w:pStyle w:val="ListParagraph"/>
              <w:numPr>
                <w:ilvl w:val="0"/>
                <w:numId w:val="2"/>
              </w:numPr>
            </w:pPr>
            <w:r w:rsidRPr="00FF514E">
              <w:t>In-person or virtual office hours (days, times, location) and/or how to make appointment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030F7484" w14:textId="77777777" w:rsidR="009D7EFE" w:rsidRPr="00FF514E" w:rsidRDefault="009D7EFE" w:rsidP="009D7EFE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9D7EFE" w14:paraId="6348ECDE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6E200936" w14:textId="5E6BED47" w:rsidR="009D7EFE" w:rsidRPr="00FF514E" w:rsidRDefault="009D7EFE" w:rsidP="009D7EFE">
            <w:pPr>
              <w:pStyle w:val="ListParagraph"/>
              <w:numPr>
                <w:ilvl w:val="0"/>
                <w:numId w:val="2"/>
              </w:numPr>
            </w:pPr>
            <w:r w:rsidRPr="00476FD2">
              <w:rPr>
                <w:rFonts w:asciiTheme="minorHAnsi" w:hAnsiTheme="minorHAnsi" w:cstheme="minorHAnsi"/>
                <w:i/>
                <w:iCs/>
              </w:rPr>
              <w:t>[For distance learning courses, only]</w:t>
            </w:r>
            <w:r w:rsidRPr="00103869">
              <w:rPr>
                <w:rFonts w:asciiTheme="minorHAnsi" w:hAnsiTheme="minorHAnsi" w:cstheme="minorHAnsi"/>
              </w:rPr>
              <w:t xml:space="preserve"> Instructor’s preferred method of communication</w:t>
            </w:r>
          </w:p>
        </w:tc>
        <w:tc>
          <w:tcPr>
            <w:tcW w:w="2526" w:type="dxa"/>
            <w:shd w:val="clear" w:color="auto" w:fill="auto"/>
          </w:tcPr>
          <w:p w14:paraId="5E0E3D0C" w14:textId="5532252B" w:rsidR="009D7EFE" w:rsidRPr="00FF514E" w:rsidRDefault="000C3C09" w:rsidP="009D7E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742F8" w14:paraId="5DCABD00" w14:textId="77777777" w:rsidTr="00103869">
        <w:trPr>
          <w:jc w:val="center"/>
        </w:trPr>
        <w:tc>
          <w:tcPr>
            <w:tcW w:w="8184" w:type="dxa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3F961B1C" w14:textId="79D35A46" w:rsidR="00A742F8" w:rsidRPr="00FF514E" w:rsidRDefault="00A742F8" w:rsidP="00103869">
            <w:pPr>
              <w:pStyle w:val="ListParagraph"/>
              <w:numPr>
                <w:ilvl w:val="0"/>
                <w:numId w:val="2"/>
              </w:numPr>
            </w:pPr>
            <w:r w:rsidRPr="00476FD2">
              <w:rPr>
                <w:rFonts w:asciiTheme="minorHAnsi" w:hAnsiTheme="minorHAnsi" w:cstheme="minorHAnsi"/>
                <w:i/>
                <w:iCs/>
              </w:rPr>
              <w:t>[For distance learning courses, only]</w:t>
            </w:r>
            <w:r w:rsidRPr="00103869">
              <w:rPr>
                <w:rFonts w:asciiTheme="minorHAnsi" w:hAnsiTheme="minorHAnsi" w:cstheme="minorHAnsi"/>
              </w:rPr>
              <w:t xml:space="preserve"> Maximum time frame for responding to student communications</w:t>
            </w:r>
          </w:p>
        </w:tc>
        <w:tc>
          <w:tcPr>
            <w:tcW w:w="2526" w:type="dxa"/>
            <w:tcBorders>
              <w:bottom w:val="single" w:sz="4" w:space="0" w:color="A6A6A6"/>
            </w:tcBorders>
            <w:shd w:val="clear" w:color="auto" w:fill="F2F2F2" w:themeFill="background1" w:themeFillShade="F2"/>
          </w:tcPr>
          <w:p w14:paraId="7C9AE832" w14:textId="4CEB4E4A" w:rsidR="00A742F8" w:rsidRPr="00FF514E" w:rsidRDefault="000C3C09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742F8" w14:paraId="11CFFBB1" w14:textId="77777777" w:rsidTr="00A742F8">
        <w:trPr>
          <w:jc w:val="center"/>
        </w:trPr>
        <w:tc>
          <w:tcPr>
            <w:tcW w:w="8184" w:type="dxa"/>
            <w:tcBorders>
              <w:top w:val="single" w:sz="2" w:space="0" w:color="auto"/>
            </w:tcBorders>
            <w:shd w:val="clear" w:color="auto" w:fill="auto"/>
          </w:tcPr>
          <w:p w14:paraId="6EBB3892" w14:textId="3E4062A0" w:rsidR="00A742F8" w:rsidRPr="00FF514E" w:rsidRDefault="00A742F8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 xml:space="preserve">Required materials for the course, e.g. textbooks, required readings/films, etc. </w:t>
            </w:r>
            <w:r>
              <w:t>are listed</w:t>
            </w:r>
          </w:p>
        </w:tc>
        <w:tc>
          <w:tcPr>
            <w:tcW w:w="25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7620AB" w14:textId="77777777" w:rsidR="00A742F8" w:rsidRPr="00FF514E" w:rsidRDefault="00A742F8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226EB2" w14:paraId="77172B9F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15008EEC" w14:textId="04ECEDB5" w:rsidR="00226EB2" w:rsidRPr="00FF514E" w:rsidRDefault="00226EB2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>Associated expenses other than “required materials,” such as the cost of a field trip, proctoring fees, or polling software devices, if applicable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177AC3B" w14:textId="699E7487" w:rsidR="00226EB2" w:rsidRPr="00FF514E" w:rsidRDefault="002D2007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    </w:t>
            </w:r>
            <w:r w:rsidRPr="00FF514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N/A</w:t>
            </w:r>
          </w:p>
        </w:tc>
      </w:tr>
      <w:tr w:rsidR="00226EB2" w14:paraId="1522E982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4EF16AF2" w14:textId="441659C4" w:rsidR="00226EB2" w:rsidRPr="00FF514E" w:rsidRDefault="00226EB2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>Skill/Technology requirements, if applicable</w:t>
            </w:r>
            <w:r w:rsidR="00BC74DF" w:rsidRPr="00FF514E">
              <w:t xml:space="preserve"> (I</w:t>
            </w:r>
            <w:r w:rsidRPr="00FF514E">
              <w:t>f specific technical/digital literacy skills or software are required, the syllabus must describe these</w:t>
            </w:r>
            <w:r w:rsidR="00BC74DF" w:rsidRPr="00FF514E">
              <w:t>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1EA0AD3E" w14:textId="474A4962" w:rsidR="00226EB2" w:rsidRPr="00FF514E" w:rsidRDefault="002D2007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    </w:t>
            </w:r>
            <w:r w:rsidRPr="00FF514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N/A</w:t>
            </w:r>
          </w:p>
        </w:tc>
      </w:tr>
      <w:tr w:rsidR="00B31E60" w14:paraId="119C4547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278706B4" w14:textId="7C3E54DA" w:rsidR="00B31E60" w:rsidRPr="00FF514E" w:rsidRDefault="00B31E60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FF514E">
              <w:t>Student learning outcomes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0218EF2D" w14:textId="77777777" w:rsidR="00B31E60" w:rsidRPr="00FF514E" w:rsidRDefault="00B31E60" w:rsidP="00630D3A"/>
        </w:tc>
      </w:tr>
      <w:tr w:rsidR="00630D3A" w14:paraId="6A026C84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11B8DCE1" w14:textId="1DCD2279" w:rsidR="00630D3A" w:rsidRPr="00FF514E" w:rsidRDefault="00630D3A" w:rsidP="00103869">
            <w:pPr>
              <w:pStyle w:val="ListParagraph"/>
              <w:numPr>
                <w:ilvl w:val="0"/>
                <w:numId w:val="4"/>
              </w:numPr>
            </w:pPr>
            <w:r w:rsidRPr="00FF514E">
              <w:t>Student learning outcomes are measurable</w:t>
            </w:r>
            <w:r w:rsidR="00D97E29" w:rsidRPr="00FF514E">
              <w:rPr>
                <w:rStyle w:val="FootnoteReference"/>
              </w:rPr>
              <w:footnoteReference w:id="10"/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BFE68AB" w14:textId="4B7ED4B4" w:rsidR="00630D3A" w:rsidRPr="00FF514E" w:rsidRDefault="00630D3A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226EB2" w14:paraId="6D35D749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2B76A1EB" w14:textId="7DD15FC2" w:rsidR="00226EB2" w:rsidRPr="00FF514E" w:rsidRDefault="008076C4" w:rsidP="00103869">
            <w:pPr>
              <w:pStyle w:val="ListParagraph"/>
              <w:numPr>
                <w:ilvl w:val="0"/>
                <w:numId w:val="4"/>
              </w:numPr>
            </w:pPr>
            <w:r w:rsidRPr="00FF514E">
              <w:t>Student outcomes reflect the level of the course</w:t>
            </w:r>
            <w:r w:rsidR="00226EB2" w:rsidRPr="00103869">
              <w:rPr>
                <w:rStyle w:val="EndnoteReference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012E6DC5" w14:textId="29DBF7A4" w:rsidR="00226EB2" w:rsidRPr="00FF514E" w:rsidRDefault="008076C4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226EB2" w14:paraId="0FFC8819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4590F89E" w14:textId="361F2454" w:rsidR="00226EB2" w:rsidRPr="00FF514E" w:rsidRDefault="008076C4" w:rsidP="00103869">
            <w:pPr>
              <w:pStyle w:val="ListParagraph"/>
              <w:numPr>
                <w:ilvl w:val="0"/>
                <w:numId w:val="4"/>
              </w:numPr>
            </w:pPr>
            <w:r w:rsidRPr="00FF514E">
              <w:t>Student learning outcomes align</w:t>
            </w:r>
            <w:r w:rsidR="00B31E60" w:rsidRPr="00FF514E">
              <w:t xml:space="preserve"> with</w:t>
            </w:r>
            <w:r w:rsidRPr="00FF514E">
              <w:t xml:space="preserve"> course components and assessments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59E9665" w14:textId="5B66572E" w:rsidR="00226EB2" w:rsidRPr="00FF514E" w:rsidRDefault="008076C4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226EB2" w14:paraId="4B52224E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0B3A2811" w14:textId="6E37C877" w:rsidR="00226EB2" w:rsidRPr="00FF514E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03869">
              <w:rPr>
                <w:rFonts w:asciiTheme="minorHAnsi" w:hAnsiTheme="minorHAnsi" w:cstheme="minorHAnsi"/>
              </w:rPr>
              <w:t>Assignments/</w:t>
            </w:r>
            <w:r w:rsidR="00226EB2" w:rsidRPr="00103869">
              <w:rPr>
                <w:rFonts w:asciiTheme="minorHAnsi" w:hAnsiTheme="minorHAnsi" w:cstheme="minorHAnsi"/>
              </w:rPr>
              <w:t>assessments reflect the level of the course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11FC840" w14:textId="0BF5BC8B" w:rsidR="00226EB2" w:rsidRPr="00FF514E" w:rsidRDefault="008076C4" w:rsidP="00630D3A">
            <w:r w:rsidRPr="00FF51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Yes    </w:t>
            </w:r>
            <w:r w:rsidRPr="00FF51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14E">
              <w:instrText xml:space="preserve"> FORMCHECKBOX </w:instrText>
            </w:r>
            <w:r w:rsidR="00D120E4">
              <w:fldChar w:fldCharType="separate"/>
            </w:r>
            <w:r w:rsidRPr="00FF514E">
              <w:fldChar w:fldCharType="end"/>
            </w:r>
            <w:r w:rsidRPr="00FF514E">
              <w:t xml:space="preserve"> No</w:t>
            </w:r>
          </w:p>
        </w:tc>
      </w:tr>
      <w:tr w:rsidR="00226EB2" w14:paraId="18E294F6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65FDCDAB" w14:textId="22504EDE" w:rsidR="00226EB2" w:rsidRDefault="00226EB2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Descriptive list of activities, exams, and grading scheme</w:t>
            </w:r>
            <w:r w:rsidR="00B31E60">
              <w:t xml:space="preserve"> that </w:t>
            </w:r>
            <w:r w:rsidR="00EC4B04">
              <w:t>describe</w:t>
            </w:r>
            <w:r w:rsidR="00B31E60">
              <w:t>s</w:t>
            </w:r>
            <w:r w:rsidR="00EC4B04">
              <w:t xml:space="preserve"> </w:t>
            </w:r>
            <w:r w:rsidRPr="0019565E">
              <w:t>how grades will be calculated. As applicable, include: list of activities with enough description for students to understand the course requirements; factors used in determining grades (e.g., absences, required interactions, or late assignments); and due dates</w:t>
            </w:r>
            <w:r w:rsidR="00B31E60">
              <w:t xml:space="preserve"> </w:t>
            </w:r>
            <w:r w:rsidRPr="0019565E">
              <w:t>(if applicable, include a caveat that due dates can be changed and explain under what circumstances they can be changed)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54C807DD" w14:textId="4B3F3919" w:rsidR="00226EB2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26EB2" w14:paraId="6D5D5B7B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47795584" w14:textId="64A67AE9" w:rsidR="00226EB2" w:rsidRDefault="00226EB2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 xml:space="preserve">Mechanics of submissions, if applicable. </w:t>
            </w:r>
            <w:r w:rsidR="00BC74DF">
              <w:t>(S</w:t>
            </w:r>
            <w:r w:rsidRPr="0019565E">
              <w:t>yllabus must explain if assignments must be submitted via a certain method</w:t>
            </w:r>
            <w:r w:rsidR="00BC74DF">
              <w:t xml:space="preserve">, </w:t>
            </w:r>
            <w:r w:rsidRPr="0019565E">
              <w:t>e.g. via email or a specific software program or file type)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14D292FB" w14:textId="71816010" w:rsidR="00226EB2" w:rsidRDefault="002D2007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076C4" w14:paraId="31695B01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318B75A5" w14:textId="3A7C2D5A" w:rsidR="008076C4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Policy on</w:t>
            </w:r>
            <w:r w:rsidR="00BA5DA3">
              <w:t xml:space="preserve"> not returning </w:t>
            </w:r>
            <w:r w:rsidRPr="0019565E">
              <w:t>assignments, if applicable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E2D0D70" w14:textId="320F72ED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076C4" w14:paraId="49EC4BD1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31D4FC9F" w14:textId="6A7F2872" w:rsidR="008076C4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Grading scale</w:t>
            </w:r>
            <w:r w:rsidR="00FF514E">
              <w:t xml:space="preserve">, e.g. </w:t>
            </w:r>
            <w:r w:rsidRPr="0019565E">
              <w:t>undergraduate</w:t>
            </w:r>
            <w:r w:rsidR="00FF514E">
              <w:t xml:space="preserve">, P/F, or </w:t>
            </w:r>
            <w:r w:rsidRPr="0019565E">
              <w:t>graduate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2EC2FA2" w14:textId="4567531B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076C4" w14:paraId="5D0C6759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09257555" w14:textId="733EEBC2" w:rsidR="008076C4" w:rsidRDefault="00FF514E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476FD2">
              <w:rPr>
                <w:i/>
                <w:iCs/>
              </w:rPr>
              <w:t>[</w:t>
            </w:r>
            <w:r w:rsidR="00A742F8" w:rsidRPr="00476FD2">
              <w:rPr>
                <w:i/>
                <w:iCs/>
              </w:rPr>
              <w:t>F</w:t>
            </w:r>
            <w:r w:rsidR="008076C4" w:rsidRPr="00476FD2">
              <w:rPr>
                <w:i/>
                <w:iCs/>
              </w:rPr>
              <w:t xml:space="preserve">or 400G- and 500-level courses, </w:t>
            </w:r>
            <w:r w:rsidRPr="00476FD2">
              <w:rPr>
                <w:i/>
                <w:iCs/>
              </w:rPr>
              <w:t>only]</w:t>
            </w:r>
            <w:r>
              <w:t xml:space="preserve"> E</w:t>
            </w:r>
            <w:r w:rsidR="008076C4" w:rsidRPr="0019565E">
              <w:t>xpectations of graduate students and differentiation from undergraduate students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D1300A3" w14:textId="1555B2CA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8076C4" w14:paraId="617F6A0C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3FE59E2B" w14:textId="313A9243" w:rsidR="008076C4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Midterm grades, if undergraduate students are enrolled in the course</w:t>
            </w:r>
            <w:r w:rsidR="00B31E60">
              <w:t xml:space="preserve"> (s</w:t>
            </w:r>
            <w:r w:rsidRPr="0019565E">
              <w:t xml:space="preserve">ee </w:t>
            </w:r>
            <w:hyperlink r:id="rId8" w:history="1">
              <w:r w:rsidRPr="00B31E60">
                <w:rPr>
                  <w:rStyle w:val="Hyperlink"/>
                </w:rPr>
                <w:t>University Calendar</w:t>
              </w:r>
            </w:hyperlink>
            <w:r w:rsidR="00B31E60">
              <w:t xml:space="preserve"> for specific date)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66F1B37B" w14:textId="1FC6ABE9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</w:tbl>
    <w:p w14:paraId="57369B56" w14:textId="77777777" w:rsidR="00C841F4" w:rsidRDefault="00C841F4"/>
    <w:tbl>
      <w:tblPr>
        <w:tblStyle w:val="TableGrid"/>
        <w:tblW w:w="107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84"/>
        <w:gridCol w:w="2526"/>
      </w:tblGrid>
      <w:tr w:rsidR="00C841F4" w14:paraId="5D9FD18B" w14:textId="77777777" w:rsidTr="00660BDC">
        <w:trPr>
          <w:jc w:val="center"/>
        </w:trPr>
        <w:tc>
          <w:tcPr>
            <w:tcW w:w="107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14:paraId="208D0905" w14:textId="77777777" w:rsidR="00C841F4" w:rsidRDefault="00C841F4" w:rsidP="000B5C28">
            <w:pPr>
              <w:jc w:val="center"/>
            </w:pPr>
            <w:r w:rsidRPr="00A93ECB">
              <w:rPr>
                <w:rFonts w:asciiTheme="minorHAnsi" w:hAnsiTheme="minorHAnsi" w:cstheme="minorHAnsi"/>
                <w:b/>
                <w:bCs/>
              </w:rPr>
              <w:lastRenderedPageBreak/>
              <w:t>Syllabus Review</w:t>
            </w:r>
            <w:r>
              <w:rPr>
                <w:rFonts w:asciiTheme="minorHAnsi" w:hAnsiTheme="minorHAnsi" w:cstheme="minorHAnsi"/>
                <w:b/>
                <w:bCs/>
              </w:rPr>
              <w:t>, continued</w:t>
            </w:r>
          </w:p>
        </w:tc>
      </w:tr>
      <w:tr w:rsidR="008076C4" w14:paraId="56CA196D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2E3A038C" w14:textId="4049484E" w:rsidR="008076C4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 xml:space="preserve">Tentative course schedule. At a minimum include due dates of major assignments and exams. </w:t>
            </w:r>
            <w:r w:rsidR="00476FD2">
              <w:t>(</w:t>
            </w:r>
            <w:r w:rsidRPr="0019565E">
              <w:t>More detailed information must also be provided, either within the syllabus or located on another platform, such as Canvas).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2A6DF1D" w14:textId="0126FECB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076C4" w14:paraId="3534E324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223E45CA" w14:textId="5778E454" w:rsidR="008076C4" w:rsidRDefault="008076C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 xml:space="preserve">Course activities outside of regularly scheduled class-required interactions, if applicable. </w:t>
            </w:r>
            <w:r w:rsidR="00B31E60">
              <w:t>I</w:t>
            </w:r>
            <w:r w:rsidRPr="0019565E">
              <w:t xml:space="preserve">nclude special events, field trips, and required synchronous meetings for distance learning courses. 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4A082309" w14:textId="5CE1E512" w:rsidR="008076C4" w:rsidRDefault="008076C4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6DF0" w14:paraId="3C5834EE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65DA2643" w14:textId="77777777" w:rsidR="00AF6DF0" w:rsidRDefault="00AF6DF0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 xml:space="preserve">Policy on diversity, equity, and inclusion. Instructors must include a URL to or text of a statement on diversity, equity, and inclusion approved by a relevant faculty body. The Senate Council-approved </w:t>
            </w:r>
            <w:hyperlink r:id="rId9" w:history="1">
              <w:r w:rsidRPr="0019565E">
                <w:rPr>
                  <w:rStyle w:val="Hyperlink"/>
                </w:rPr>
                <w:t>syllabus statement on diversity, equity, and inclusion</w:t>
              </w:r>
            </w:hyperlink>
            <w:r w:rsidRPr="0019565E">
              <w:t xml:space="preserve"> or any other equivalent faculty body-approved statement will meet this requirement (</w:t>
            </w:r>
            <w:hyperlink r:id="rId10" w:history="1">
              <w:r w:rsidRPr="0019565E">
                <w:rPr>
                  <w:rStyle w:val="Hyperlink"/>
                </w:rPr>
                <w:t>https://www.uky.edu/universitysenate/syllabus-dei</w:t>
              </w:r>
            </w:hyperlink>
            <w:r w:rsidRPr="0019565E">
              <w:t xml:space="preserve">). 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7CFACB5A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C841F4" w14:paraId="4317C804" w14:textId="77777777" w:rsidTr="006C3398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7A5FAA5E" w14:textId="1000516C" w:rsidR="00C841F4" w:rsidRDefault="00C841F4" w:rsidP="00476FD2">
            <w:pPr>
              <w:ind w:left="360"/>
            </w:pPr>
            <w:r w:rsidRPr="00644E92">
              <w:rPr>
                <w:rFonts w:asciiTheme="minorHAnsi" w:hAnsiTheme="minorHAnsi" w:cstheme="minorHAnsi"/>
              </w:rPr>
              <w:t>Language describing academic offenses</w:t>
            </w:r>
          </w:p>
        </w:tc>
      </w:tr>
      <w:tr w:rsidR="00AF6DF0" w14:paraId="7022E30C" w14:textId="77777777" w:rsidTr="00A742F8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026122A4" w14:textId="77777777" w:rsidR="00AF6DF0" w:rsidRPr="0019565E" w:rsidRDefault="00AF6DF0" w:rsidP="00476FD2">
            <w:pPr>
              <w:pStyle w:val="ListParagraph"/>
              <w:numPr>
                <w:ilvl w:val="0"/>
                <w:numId w:val="7"/>
              </w:numPr>
              <w:ind w:left="971"/>
            </w:pPr>
            <w:r w:rsidRPr="00476FD2">
              <w:rPr>
                <w:rFonts w:asciiTheme="minorHAnsi" w:hAnsiTheme="minorHAnsi" w:cstheme="minorHAnsi"/>
                <w:i/>
                <w:iCs/>
              </w:rPr>
              <w:t>[For undergraduate- and graduate-level courses, only]</w:t>
            </w:r>
            <w:r w:rsidRPr="00644E92">
              <w:rPr>
                <w:rFonts w:asciiTheme="minorHAnsi" w:hAnsiTheme="minorHAnsi" w:cstheme="minorHAnsi"/>
              </w:rPr>
              <w:t xml:space="preserve"> Link to, or copy and paste of, </w:t>
            </w:r>
            <w:hyperlink r:id="rId11" w:history="1">
              <w:r w:rsidRPr="00644E92">
                <w:rPr>
                  <w:rStyle w:val="Hyperlink"/>
                  <w:rFonts w:asciiTheme="minorHAnsi" w:hAnsiTheme="minorHAnsi" w:cstheme="minorHAnsi"/>
                </w:rPr>
                <w:t>Academic Offenses Rules for Undergraduate and Graduate Students</w:t>
              </w:r>
            </w:hyperlink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637A913E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6DF0" w14:paraId="6EE0C692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056D26F1" w14:textId="77777777" w:rsidR="00AF6DF0" w:rsidRPr="00476FD2" w:rsidRDefault="00AF6DF0" w:rsidP="00476FD2">
            <w:pPr>
              <w:pStyle w:val="ListParagraph"/>
              <w:numPr>
                <w:ilvl w:val="0"/>
                <w:numId w:val="7"/>
              </w:numPr>
              <w:ind w:left="971"/>
              <w:rPr>
                <w:rFonts w:asciiTheme="minorHAnsi" w:hAnsiTheme="minorHAnsi" w:cstheme="minorHAnsi"/>
              </w:rPr>
            </w:pPr>
            <w:r w:rsidRPr="00476FD2">
              <w:rPr>
                <w:rFonts w:asciiTheme="minorHAnsi" w:hAnsiTheme="minorHAnsi" w:cstheme="minorHAnsi"/>
                <w:i/>
                <w:iCs/>
              </w:rPr>
              <w:t>[For professional courses, only]</w:t>
            </w:r>
            <w:r w:rsidRPr="00476FD2">
              <w:rPr>
                <w:rFonts w:asciiTheme="minorHAnsi" w:hAnsiTheme="minorHAnsi" w:cstheme="minorHAnsi"/>
              </w:rPr>
              <w:t xml:space="preserve"> Program’s rules on academic offenses or link to a webpage with that information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77BAE76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6DF0" w14:paraId="1B0D224D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402EC9D9" w14:textId="57FBDA74" w:rsidR="00AF6DF0" w:rsidRDefault="00AF6DF0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bookmarkStart w:id="11" w:name="_Hlk140236224"/>
            <w:r w:rsidRPr="0019565E">
              <w:t xml:space="preserve">Resources. If applicable, the syllabus should describe </w:t>
            </w:r>
            <w:hyperlink r:id="rId12" w:history="1">
              <w:r>
                <w:rPr>
                  <w:rStyle w:val="Hyperlink"/>
                </w:rPr>
                <w:t>Resources Available to Students</w:t>
              </w:r>
            </w:hyperlink>
            <w:r w:rsidRPr="0019565E">
              <w:t>, such as UK’s distance learning library services</w:t>
            </w:r>
            <w:r w:rsidR="000F6EFB">
              <w:t xml:space="preserve"> and</w:t>
            </w:r>
            <w:r>
              <w:t xml:space="preserve"> </w:t>
            </w:r>
            <w:r w:rsidRPr="0019565E">
              <w:t xml:space="preserve">proctoring information </w:t>
            </w:r>
            <w:bookmarkEnd w:id="11"/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E025895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6F4007" w14:paraId="4CC92F36" w14:textId="77777777" w:rsidTr="00852B02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4BEFE24B" w14:textId="77777777" w:rsidR="006F4007" w:rsidRPr="006F4007" w:rsidRDefault="006F4007" w:rsidP="00630D3A">
            <w:pPr>
              <w:rPr>
                <w:sz w:val="14"/>
                <w:szCs w:val="14"/>
              </w:rPr>
            </w:pPr>
          </w:p>
        </w:tc>
      </w:tr>
      <w:tr w:rsidR="00AF6DF0" w14:paraId="6ECBAE37" w14:textId="77777777" w:rsidTr="00660BDC">
        <w:trPr>
          <w:jc w:val="center"/>
        </w:trPr>
        <w:tc>
          <w:tcPr>
            <w:tcW w:w="1071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5E0B3" w:themeFill="accent6" w:themeFillTint="66"/>
          </w:tcPr>
          <w:p w14:paraId="1745E0BF" w14:textId="7ECDB508" w:rsidR="00AF6DF0" w:rsidRPr="00A93ECB" w:rsidRDefault="00AF6DF0" w:rsidP="000B5C2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Items</w:t>
            </w:r>
            <w:r w:rsidRPr="00AF6DF0">
              <w:rPr>
                <w:rFonts w:asciiTheme="minorHAnsi" w:hAnsiTheme="minorHAnsi" w:cstheme="minorHAnsi"/>
                <w:b/>
                <w:bCs/>
              </w:rPr>
              <w:t xml:space="preserve"> Related to Academic Policy Statements</w:t>
            </w:r>
          </w:p>
        </w:tc>
      </w:tr>
      <w:tr w:rsidR="00AF6DF0" w14:paraId="47E4C35C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6B6D6BF3" w14:textId="77777777" w:rsidR="00AF6DF0" w:rsidRDefault="00AF6DF0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 xml:space="preserve">URL/hyperlink to, or copy and paste of, </w:t>
            </w:r>
            <w:hyperlink r:id="rId13" w:history="1">
              <w:r w:rsidRPr="008076C4">
                <w:rPr>
                  <w:rStyle w:val="Hyperlink"/>
                </w:rPr>
                <w:t>Academic Policy Statements</w:t>
              </w:r>
            </w:hyperlink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FD34AAD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F6DF0" w14:paraId="5A7D2147" w14:textId="77777777" w:rsidTr="00FB71FE">
        <w:trPr>
          <w:jc w:val="center"/>
        </w:trPr>
        <w:tc>
          <w:tcPr>
            <w:tcW w:w="8184" w:type="dxa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14:paraId="4371C95D" w14:textId="77777777" w:rsidR="00AF6DF0" w:rsidRDefault="00AF6DF0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Acceptable documentation for excused absences</w:t>
            </w:r>
            <w:r>
              <w:rPr>
                <w:rStyle w:val="FootnoteReference"/>
              </w:rPr>
              <w:footnoteReference w:id="11"/>
            </w:r>
            <w:r>
              <w:t xml:space="preserve">, </w:t>
            </w:r>
            <w:r w:rsidRPr="0019565E">
              <w:t>e.g. a letter from an institution or medical provider, or published information</w:t>
            </w:r>
            <w:r>
              <w:t xml:space="preserve"> </w:t>
            </w:r>
          </w:p>
        </w:tc>
        <w:tc>
          <w:tcPr>
            <w:tcW w:w="2526" w:type="dxa"/>
            <w:tcBorders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14:paraId="7F46CEEC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F6DF0" w14:paraId="231FE02B" w14:textId="77777777" w:rsidTr="00FB71FE">
        <w:trPr>
          <w:jc w:val="center"/>
        </w:trPr>
        <w:tc>
          <w:tcPr>
            <w:tcW w:w="8184" w:type="dxa"/>
            <w:tcBorders>
              <w:top w:val="single" w:sz="2" w:space="0" w:color="A6A6A6" w:themeColor="background1" w:themeShade="A6"/>
              <w:bottom w:val="single" w:sz="4" w:space="0" w:color="A6A6A6"/>
            </w:tcBorders>
            <w:shd w:val="clear" w:color="auto" w:fill="F2F2F2" w:themeFill="background1" w:themeFillShade="F2"/>
          </w:tcPr>
          <w:p w14:paraId="7910F1C4" w14:textId="77777777" w:rsidR="00AF6DF0" w:rsidRDefault="00AF6DF0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Policy for absences due to major religious holidays, if applicable</w:t>
            </w:r>
            <w:r>
              <w:t>.</w:t>
            </w:r>
          </w:p>
        </w:tc>
        <w:tc>
          <w:tcPr>
            <w:tcW w:w="2526" w:type="dxa"/>
            <w:tcBorders>
              <w:top w:val="single" w:sz="2" w:space="0" w:color="A6A6A6" w:themeColor="background1" w:themeShade="A6"/>
              <w:bottom w:val="single" w:sz="4" w:space="0" w:color="A6A6A6"/>
            </w:tcBorders>
            <w:shd w:val="clear" w:color="auto" w:fill="F2F2F2" w:themeFill="background1" w:themeFillShade="F2"/>
            <w:vAlign w:val="center"/>
          </w:tcPr>
          <w:p w14:paraId="1A17EE5B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AF6DF0" w14:paraId="31186726" w14:textId="77777777" w:rsidTr="00A742F8">
        <w:trPr>
          <w:jc w:val="center"/>
        </w:trPr>
        <w:tc>
          <w:tcPr>
            <w:tcW w:w="8184" w:type="dxa"/>
            <w:shd w:val="clear" w:color="auto" w:fill="auto"/>
          </w:tcPr>
          <w:p w14:paraId="463BB895" w14:textId="77777777" w:rsidR="00AF6DF0" w:rsidRDefault="00AF6DF0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Submission of late assignments and late policies</w:t>
            </w:r>
            <w:r>
              <w:t xml:space="preserve">, including explanation whether </w:t>
            </w:r>
            <w:r w:rsidRPr="0019565E">
              <w:t>late assignments are accepted for unexcused absences and if there are penalties or time limits regarding work submitted after the due date (</w:t>
            </w:r>
            <w:r>
              <w:t>w</w:t>
            </w:r>
            <w:r w:rsidRPr="0019565E">
              <w:t xml:space="preserve">ithin some guidelines, late assignments must always be accepted for excused absences)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C24F6AE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F6DF0" w14:paraId="5EEA5A1A" w14:textId="77777777" w:rsidTr="00FB71FE">
        <w:trPr>
          <w:jc w:val="center"/>
        </w:trPr>
        <w:tc>
          <w:tcPr>
            <w:tcW w:w="8184" w:type="dxa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3D7E9BA2" w14:textId="77777777" w:rsidR="00AF6DF0" w:rsidRDefault="00AF6DF0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19565E">
              <w:t>Attendance policy for course, if applicable</w:t>
            </w:r>
            <w:r>
              <w:rPr>
                <w:rStyle w:val="FootnoteReference"/>
              </w:rPr>
              <w:footnoteReference w:id="12"/>
            </w:r>
            <w:r>
              <w:t>. U</w:t>
            </w:r>
            <w:r w:rsidRPr="0019565E">
              <w:t>nless an attendance policy is described in the syllabus, students cannot be penalized for lack of attendance</w:t>
            </w:r>
            <w:r>
              <w:t>.</w:t>
            </w:r>
          </w:p>
        </w:tc>
        <w:tc>
          <w:tcPr>
            <w:tcW w:w="252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2566ED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C841F4" w14:paraId="1F70EBA0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437B7448" w14:textId="630E0E8E" w:rsidR="00C841F4" w:rsidRPr="0019565E" w:rsidRDefault="00C841F4" w:rsidP="00103869">
            <w:pPr>
              <w:pStyle w:val="ListParagraph"/>
              <w:numPr>
                <w:ilvl w:val="0"/>
                <w:numId w:val="1"/>
              </w:numPr>
              <w:ind w:left="435"/>
            </w:pPr>
            <w:r>
              <w:t>Language related to Prep Week and Reading Days</w:t>
            </w:r>
            <w:r>
              <w:rPr>
                <w:rStyle w:val="FootnoteReference"/>
              </w:rPr>
              <w:footnoteReference w:id="13"/>
            </w:r>
            <w:r>
              <w:t xml:space="preserve"> (s</w:t>
            </w:r>
            <w:r w:rsidRPr="0019565E">
              <w:t xml:space="preserve">ee </w:t>
            </w:r>
            <w:hyperlink r:id="rId14" w:history="1">
              <w:r w:rsidRPr="00B31E60">
                <w:rPr>
                  <w:rStyle w:val="Hyperlink"/>
                </w:rPr>
                <w:t>University Calendar</w:t>
              </w:r>
            </w:hyperlink>
            <w:r>
              <w:t xml:space="preserve"> for specific dates)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228B9E8" w14:textId="77777777" w:rsidR="00C841F4" w:rsidRDefault="00C841F4" w:rsidP="00630D3A"/>
        </w:tc>
      </w:tr>
      <w:tr w:rsidR="00AF6DF0" w14:paraId="041AA2D9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483B7AB3" w14:textId="61FCC732" w:rsidR="00AF6DF0" w:rsidRDefault="00AF6DF0" w:rsidP="00C841F4">
            <w:pPr>
              <w:pStyle w:val="ListParagraph"/>
              <w:numPr>
                <w:ilvl w:val="1"/>
                <w:numId w:val="1"/>
              </w:numPr>
              <w:ind w:left="969"/>
            </w:pPr>
            <w:r w:rsidRPr="0019565E">
              <w:t xml:space="preserve">Permissible assignments that </w:t>
            </w:r>
            <w:r>
              <w:t>will be</w:t>
            </w:r>
            <w:r w:rsidRPr="0019565E">
              <w:t xml:space="preserve"> due during Prep Week</w:t>
            </w:r>
            <w:r w:rsidR="00C841F4">
              <w:t>, if applicable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CDF0DA1" w14:textId="77777777" w:rsidR="00AF6DF0" w:rsidRDefault="00AF6DF0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1377EB" w14:paraId="7F69C677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3BE4FE89" w14:textId="1BF65A9E" w:rsidR="001377EB" w:rsidRPr="0019565E" w:rsidRDefault="001377EB" w:rsidP="00C841F4">
            <w:pPr>
              <w:pStyle w:val="ListParagraph"/>
              <w:numPr>
                <w:ilvl w:val="1"/>
                <w:numId w:val="1"/>
              </w:numPr>
              <w:ind w:left="969"/>
            </w:pPr>
            <w:r>
              <w:t>Schedule of activities does not include required interactions on Reading Days</w:t>
            </w:r>
          </w:p>
        </w:tc>
        <w:tc>
          <w:tcPr>
            <w:tcW w:w="2526" w:type="dxa"/>
            <w:shd w:val="clear" w:color="auto" w:fill="F2F2F2" w:themeFill="background1" w:themeFillShade="F2"/>
            <w:vAlign w:val="center"/>
          </w:tcPr>
          <w:p w14:paraId="5B058FC8" w14:textId="2A0C272B" w:rsidR="001377EB" w:rsidRDefault="001377EB" w:rsidP="00630D3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  <w:tr w:rsidR="002912E1" w14:paraId="3302E23E" w14:textId="77777777" w:rsidTr="00660BDC">
        <w:trPr>
          <w:jc w:val="center"/>
        </w:trPr>
        <w:tc>
          <w:tcPr>
            <w:tcW w:w="10710" w:type="dxa"/>
            <w:gridSpan w:val="2"/>
          </w:tcPr>
          <w:p w14:paraId="781404A3" w14:textId="77777777" w:rsidR="002912E1" w:rsidRPr="00A93ECB" w:rsidRDefault="002912E1" w:rsidP="002912E1">
            <w:pPr>
              <w:rPr>
                <w:sz w:val="14"/>
                <w:szCs w:val="12"/>
              </w:rPr>
            </w:pPr>
          </w:p>
        </w:tc>
      </w:tr>
      <w:tr w:rsidR="002912E1" w14:paraId="792E9DE3" w14:textId="77777777" w:rsidTr="00660BDC">
        <w:trPr>
          <w:jc w:val="center"/>
        </w:trPr>
        <w:tc>
          <w:tcPr>
            <w:tcW w:w="10710" w:type="dxa"/>
            <w:gridSpan w:val="2"/>
            <w:shd w:val="clear" w:color="auto" w:fill="C5E0B3" w:themeFill="accent6" w:themeFillTint="66"/>
          </w:tcPr>
          <w:p w14:paraId="5C7B1702" w14:textId="3FFB36C0" w:rsidR="002912E1" w:rsidRPr="00A93ECB" w:rsidRDefault="002912E1" w:rsidP="002912E1">
            <w:pPr>
              <w:jc w:val="center"/>
              <w:rPr>
                <w:b/>
                <w:bCs/>
              </w:rPr>
            </w:pPr>
            <w:r w:rsidRPr="00A93ECB">
              <w:rPr>
                <w:b/>
                <w:bCs/>
              </w:rPr>
              <w:t>Distance Learning (if applicable)</w:t>
            </w:r>
          </w:p>
        </w:tc>
      </w:tr>
      <w:tr w:rsidR="002912E1" w14:paraId="292DAAF8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7715D57B" w14:textId="65FE7949" w:rsidR="002912E1" w:rsidRDefault="002912E1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>Curriculog discusses/affirms timely interactions between students and the instructor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1BABCEEA" w14:textId="543EEA81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2E308938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3E8B0CA2" w14:textId="51E7D69F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>Curriculog d</w:t>
            </w:r>
            <w:r w:rsidR="002912E1" w:rsidRPr="00644E92">
              <w:rPr>
                <w:rFonts w:asciiTheme="minorHAnsi" w:hAnsiTheme="minorHAnsi" w:cstheme="minorHAnsi"/>
              </w:rPr>
              <w:t xml:space="preserve">escribes comparable experiences for DL and in-person students </w:t>
            </w:r>
          </w:p>
        </w:tc>
        <w:tc>
          <w:tcPr>
            <w:tcW w:w="2526" w:type="dxa"/>
            <w:shd w:val="clear" w:color="auto" w:fill="auto"/>
          </w:tcPr>
          <w:p w14:paraId="7770671C" w14:textId="122BA28D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24FD87C9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538FDBB6" w14:textId="08651DEA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lastRenderedPageBreak/>
              <w:t>Curriculog describes m</w:t>
            </w:r>
            <w:r w:rsidR="002912E1" w:rsidRPr="00644E92">
              <w:rPr>
                <w:rFonts w:asciiTheme="minorHAnsi" w:hAnsiTheme="minorHAnsi" w:cstheme="minorHAnsi"/>
              </w:rPr>
              <w:t>ethods to ensure integrity of student work are included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50ECBC38" w14:textId="334CF0FD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1BB90983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5248A007" w14:textId="4F2C88DC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>Curriculog d</w:t>
            </w:r>
            <w:r w:rsidR="002912E1" w:rsidRPr="00644E92">
              <w:rPr>
                <w:rFonts w:asciiTheme="minorHAnsi" w:hAnsiTheme="minorHAnsi" w:cstheme="minorHAnsi"/>
              </w:rPr>
              <w:t xml:space="preserve">escribes DL students’ access to equivalent (in-person) services </w:t>
            </w:r>
          </w:p>
        </w:tc>
        <w:tc>
          <w:tcPr>
            <w:tcW w:w="2526" w:type="dxa"/>
            <w:shd w:val="clear" w:color="auto" w:fill="auto"/>
          </w:tcPr>
          <w:p w14:paraId="47301C43" w14:textId="2AB95E62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714874EA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4DD09A74" w14:textId="2CA0BF49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>Curriculog d</w:t>
            </w:r>
            <w:r w:rsidR="002912E1" w:rsidRPr="00644E92">
              <w:rPr>
                <w:rFonts w:asciiTheme="minorHAnsi" w:hAnsiTheme="minorHAnsi" w:cstheme="minorHAnsi"/>
              </w:rPr>
              <w:t>escribes how course requirements ensure students use appropriate learning resources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56C22669" w14:textId="0DA19B60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425CA628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3CC6DD59" w14:textId="711A79C1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>Curriculog e</w:t>
            </w:r>
            <w:r w:rsidR="002912E1" w:rsidRPr="00644E92">
              <w:rPr>
                <w:rFonts w:asciiTheme="minorHAnsi" w:hAnsiTheme="minorHAnsi" w:cstheme="minorHAnsi"/>
              </w:rPr>
              <w:t>xplains how DL students access laboratories, facilities, equipment, etc.</w:t>
            </w:r>
          </w:p>
        </w:tc>
        <w:tc>
          <w:tcPr>
            <w:tcW w:w="2526" w:type="dxa"/>
            <w:shd w:val="clear" w:color="auto" w:fill="auto"/>
          </w:tcPr>
          <w:p w14:paraId="342674D4" w14:textId="46BC6E68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03BDE85F" w14:textId="77777777" w:rsidTr="00FB71FE">
        <w:trPr>
          <w:jc w:val="center"/>
        </w:trPr>
        <w:tc>
          <w:tcPr>
            <w:tcW w:w="8184" w:type="dxa"/>
            <w:shd w:val="clear" w:color="auto" w:fill="F2F2F2" w:themeFill="background1" w:themeFillShade="F2"/>
          </w:tcPr>
          <w:p w14:paraId="098D245F" w14:textId="0863DDA9" w:rsidR="002912E1" w:rsidRDefault="00A742F8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r w:rsidRPr="00644E92">
              <w:rPr>
                <w:rFonts w:asciiTheme="minorHAnsi" w:hAnsiTheme="minorHAnsi" w:cstheme="minorHAnsi"/>
              </w:rPr>
              <w:t xml:space="preserve">Curriculog describes how to resolve </w:t>
            </w:r>
            <w:r w:rsidR="00961229" w:rsidRPr="00644E92">
              <w:rPr>
                <w:rFonts w:asciiTheme="minorHAnsi" w:hAnsiTheme="minorHAnsi" w:cstheme="minorHAnsi"/>
              </w:rPr>
              <w:t xml:space="preserve">technical complaints </w:t>
            </w:r>
            <w:r w:rsidRPr="00644E92">
              <w:rPr>
                <w:rFonts w:asciiTheme="minorHAnsi" w:hAnsiTheme="minorHAnsi" w:cstheme="minorHAnsi"/>
              </w:rPr>
              <w:t>and that process is described the same way in the syllabus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06B909E9" w14:textId="263657F7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2912E1" w14:paraId="50FA4827" w14:textId="77777777" w:rsidTr="00FB71FE">
        <w:trPr>
          <w:jc w:val="center"/>
        </w:trPr>
        <w:tc>
          <w:tcPr>
            <w:tcW w:w="8184" w:type="dxa"/>
            <w:shd w:val="clear" w:color="auto" w:fill="auto"/>
          </w:tcPr>
          <w:p w14:paraId="4FBDD166" w14:textId="40A738BB" w:rsidR="002912E1" w:rsidRDefault="00961229" w:rsidP="00644E92">
            <w:pPr>
              <w:pStyle w:val="ListParagraph"/>
              <w:numPr>
                <w:ilvl w:val="0"/>
                <w:numId w:val="1"/>
              </w:numPr>
              <w:ind w:left="435"/>
            </w:pPr>
            <w:bookmarkStart w:id="12" w:name="_Hlk140236244"/>
            <w:r w:rsidRPr="00C841F4">
              <w:rPr>
                <w:rFonts w:asciiTheme="minorHAnsi" w:hAnsiTheme="minorHAnsi" w:cstheme="minorHAnsi"/>
                <w:i/>
              </w:rPr>
              <w:t>[</w:t>
            </w:r>
            <w:r w:rsidR="00A742F8" w:rsidRPr="00C841F4">
              <w:rPr>
                <w:rFonts w:asciiTheme="minorHAnsi" w:hAnsiTheme="minorHAnsi" w:cstheme="minorHAnsi"/>
                <w:i/>
              </w:rPr>
              <w:t>I</w:t>
            </w:r>
            <w:r w:rsidRPr="00C841F4">
              <w:rPr>
                <w:rFonts w:asciiTheme="minorHAnsi" w:hAnsiTheme="minorHAnsi" w:cstheme="minorHAnsi"/>
                <w:i/>
              </w:rPr>
              <w:t xml:space="preserve">f not using </w:t>
            </w:r>
            <w:r w:rsidR="006C3398">
              <w:rPr>
                <w:rFonts w:asciiTheme="minorHAnsi" w:hAnsiTheme="minorHAnsi" w:cstheme="minorHAnsi"/>
                <w:i/>
              </w:rPr>
              <w:t>technologies supported by UK Online and/or ITS]</w:t>
            </w:r>
            <w:r w:rsidR="002912E1" w:rsidRPr="00644E92">
              <w:rPr>
                <w:rFonts w:asciiTheme="minorHAnsi" w:hAnsiTheme="minorHAnsi" w:cstheme="minorHAnsi"/>
              </w:rPr>
              <w:t xml:space="preserve"> </w:t>
            </w:r>
            <w:r w:rsidR="000F6EFB" w:rsidRPr="000F6EFB">
              <w:rPr>
                <w:rFonts w:asciiTheme="minorHAnsi" w:hAnsiTheme="minorHAnsi" w:cstheme="minorHAnsi"/>
              </w:rPr>
              <w:t>If not using technology services provided by UK Online/ITS, Curriculog describes how services will be provided to DL students</w:t>
            </w:r>
            <w:bookmarkEnd w:id="12"/>
          </w:p>
        </w:tc>
        <w:tc>
          <w:tcPr>
            <w:tcW w:w="2526" w:type="dxa"/>
            <w:shd w:val="clear" w:color="auto" w:fill="auto"/>
            <w:vAlign w:val="center"/>
          </w:tcPr>
          <w:p w14:paraId="401717D6" w14:textId="4DCF5C7E" w:rsidR="002912E1" w:rsidRDefault="002912E1" w:rsidP="002912E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Yes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No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20E4">
              <w:fldChar w:fldCharType="separate"/>
            </w:r>
            <w:r>
              <w:fldChar w:fldCharType="end"/>
            </w:r>
            <w:r>
              <w:t xml:space="preserve"> N/A</w:t>
            </w:r>
          </w:p>
        </w:tc>
      </w:tr>
    </w:tbl>
    <w:p w14:paraId="030E4FA6" w14:textId="52966F26" w:rsidR="00B25410" w:rsidRDefault="00B25410"/>
    <w:p w14:paraId="7032DC65" w14:textId="6CF2933C" w:rsidR="00B25410" w:rsidRDefault="00B25410"/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9350"/>
      </w:tblGrid>
      <w:tr w:rsidR="007778ED" w:rsidRPr="00B25410" w14:paraId="452A053A" w14:textId="77777777" w:rsidTr="00CC0713">
        <w:trPr>
          <w:trHeight w:val="260"/>
        </w:trPr>
        <w:tc>
          <w:tcPr>
            <w:tcW w:w="9350" w:type="dxa"/>
            <w:shd w:val="clear" w:color="auto" w:fill="C5E0B3" w:themeFill="accent6" w:themeFillTint="66"/>
          </w:tcPr>
          <w:p w14:paraId="6198FCE0" w14:textId="7C251327" w:rsidR="007778ED" w:rsidRPr="00CC0713" w:rsidRDefault="00CC0713" w:rsidP="00CC0713">
            <w:pPr>
              <w:jc w:val="center"/>
              <w:rPr>
                <w:b/>
                <w:bCs/>
                <w:color w:val="538135" w:themeColor="accent6" w:themeShade="BF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Reviewer’s </w:t>
            </w:r>
            <w:r w:rsidRPr="00CC0713">
              <w:rPr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Notes</w:t>
            </w:r>
          </w:p>
        </w:tc>
      </w:tr>
      <w:tr w:rsidR="00B25410" w:rsidRPr="00B25410" w14:paraId="6978134F" w14:textId="77777777" w:rsidTr="00CC0713">
        <w:trPr>
          <w:trHeight w:val="4742"/>
        </w:trPr>
        <w:tc>
          <w:tcPr>
            <w:tcW w:w="9350" w:type="dxa"/>
          </w:tcPr>
          <w:p w14:paraId="60234E2C" w14:textId="77777777" w:rsidR="00B25410" w:rsidRDefault="00B25410">
            <w:pPr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9C5847A" w14:textId="747FA67F" w:rsidR="00B25410" w:rsidRPr="00B25410" w:rsidRDefault="00B25410">
            <w:pPr>
              <w:rPr>
                <w:i/>
                <w:iCs/>
                <w14:textOutline w14:w="9525" w14:cap="rnd" w14:cmpd="sng" w14:algn="ctr">
                  <w14:solidFill>
                    <w14:schemeClr w14:val="accent6">
                      <w14:lumMod w14:val="75000"/>
                    </w14:schemeClr>
                  </w14:solidFill>
                  <w14:prstDash w14:val="solid"/>
                  <w14:bevel/>
                </w14:textOutline>
              </w:rPr>
            </w:pPr>
            <w:r w:rsidRPr="00B25410"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/>
            </w:r>
            <w:bookmarkStart w:id="13" w:name="Text8"/>
            <w:r w:rsidRPr="00B25410"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Pr="00B25410"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B25410">
              <w:rPr>
                <w:i/>
                <w:iCs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B25410">
              <w:rPr>
                <w:i/>
                <w:iCs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B25410">
              <w:rPr>
                <w:i/>
                <w:iCs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B25410">
              <w:rPr>
                <w:i/>
                <w:iCs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B25410">
              <w:rPr>
                <w:i/>
                <w:iCs/>
                <w:noProof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Pr="00B25410">
              <w:rPr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3"/>
          </w:p>
        </w:tc>
      </w:tr>
    </w:tbl>
    <w:p w14:paraId="7AC7806A" w14:textId="1AF81230" w:rsidR="00CD29AE" w:rsidRDefault="00CD29AE"/>
    <w:p w14:paraId="60C6A018" w14:textId="085A9D95" w:rsidR="000B5C28" w:rsidRDefault="000B5C28"/>
    <w:p w14:paraId="665A4F71" w14:textId="75BAB157" w:rsidR="0041643C" w:rsidRDefault="0041643C">
      <w:r>
        <w:br w:type="page"/>
      </w:r>
    </w:p>
    <w:p w14:paraId="16324A73" w14:textId="62D7D410" w:rsidR="00E70F9A" w:rsidRPr="008A02ED" w:rsidRDefault="0041643C" w:rsidP="0041643C">
      <w:pPr>
        <w:jc w:val="center"/>
        <w:rPr>
          <w:b/>
          <w:bCs/>
        </w:rPr>
      </w:pPr>
      <w:r w:rsidRPr="008A02ED">
        <w:rPr>
          <w:b/>
          <w:bCs/>
        </w:rPr>
        <w:lastRenderedPageBreak/>
        <w:t>Appendix A</w:t>
      </w:r>
    </w:p>
    <w:p w14:paraId="0CEF5D22" w14:textId="78D61D5B" w:rsidR="008A02ED" w:rsidRDefault="008A02ED" w:rsidP="0041643C">
      <w:pPr>
        <w:jc w:val="center"/>
      </w:pPr>
      <w:r>
        <w:t>Definitions</w:t>
      </w:r>
    </w:p>
    <w:p w14:paraId="49312751" w14:textId="77777777" w:rsidR="008A02ED" w:rsidRDefault="008A02ED" w:rsidP="0041643C">
      <w:pPr>
        <w:jc w:val="center"/>
      </w:pPr>
    </w:p>
    <w:p w14:paraId="2EF2DC75" w14:textId="77777777" w:rsidR="0041643C" w:rsidRDefault="0041643C" w:rsidP="008A02ED">
      <w:r>
        <w:t xml:space="preserve">The Senate has unequivocal oversight of course prerequisites and corequisites. Any change relating to academic preparedness and student achievement must be approved by Senate. </w:t>
      </w:r>
    </w:p>
    <w:p w14:paraId="360047E6" w14:textId="77777777" w:rsidR="0041643C" w:rsidRDefault="0041643C" w:rsidP="008A02ED">
      <w:pPr>
        <w:rPr>
          <w:u w:val="single"/>
        </w:rPr>
      </w:pPr>
    </w:p>
    <w:p w14:paraId="43D322C3" w14:textId="7F24FE13" w:rsidR="0041643C" w:rsidRPr="00200C97" w:rsidRDefault="0041643C" w:rsidP="008A02ED">
      <w:pPr>
        <w:ind w:left="720" w:right="720"/>
      </w:pPr>
      <w:r w:rsidRPr="00934725">
        <w:rPr>
          <w:u w:val="single"/>
        </w:rPr>
        <w:t>Prerequisite</w:t>
      </w:r>
      <w:r w:rsidRPr="00200C97">
        <w:t xml:space="preserve">: Applies to every course section and every student and pertains to system-measured </w:t>
      </w:r>
      <w:r w:rsidR="00C841F4">
        <w:t>educational</w:t>
      </w:r>
      <w:r w:rsidRPr="00200C97">
        <w:t xml:space="preserve"> achievement that suggests certain </w:t>
      </w:r>
      <w:r w:rsidR="00C841F4">
        <w:t xml:space="preserve">academic </w:t>
      </w:r>
      <w:r w:rsidRPr="00200C97">
        <w:t>preparedness</w:t>
      </w:r>
      <w:r>
        <w:t xml:space="preserve">. In SAP, this is currently known as an “extended booking rule.” </w:t>
      </w:r>
    </w:p>
    <w:p w14:paraId="15E97560" w14:textId="77777777" w:rsidR="0041643C" w:rsidRDefault="0041643C" w:rsidP="008A02ED">
      <w:pPr>
        <w:ind w:left="720" w:right="720"/>
      </w:pPr>
    </w:p>
    <w:p w14:paraId="384891E2" w14:textId="7592C449" w:rsidR="0041643C" w:rsidRDefault="0041643C" w:rsidP="008A02ED">
      <w:pPr>
        <w:ind w:left="720" w:right="720"/>
      </w:pPr>
      <w:r w:rsidRPr="00934725">
        <w:rPr>
          <w:u w:val="single"/>
        </w:rPr>
        <w:t>Corequisite</w:t>
      </w:r>
      <w:r>
        <w:t>: A type of prerequisite that directs a student to take one or more courses concurrently</w:t>
      </w:r>
      <w:r w:rsidR="008A02ED">
        <w:t xml:space="preserve">. If a </w:t>
      </w:r>
      <w:r>
        <w:t xml:space="preserve">student </w:t>
      </w:r>
      <w:r w:rsidR="008A02ED">
        <w:t xml:space="preserve">has </w:t>
      </w:r>
      <w:r>
        <w:t>already taken one of the courses, the corequisite requirement will have already been met.</w:t>
      </w:r>
      <w:r w:rsidR="008A02ED">
        <w:t xml:space="preserve"> In SAP, this is also known as an “extended booking rule.”</w:t>
      </w:r>
    </w:p>
    <w:p w14:paraId="531152CF" w14:textId="77777777" w:rsidR="0041643C" w:rsidRDefault="0041643C" w:rsidP="008A02ED"/>
    <w:p w14:paraId="5AA2A285" w14:textId="493424E0" w:rsidR="0041643C" w:rsidRDefault="0041643C" w:rsidP="008A02ED">
      <w:r>
        <w:t xml:space="preserve">Local unit faculty </w:t>
      </w:r>
      <w:proofErr w:type="gramStart"/>
      <w:r>
        <w:t>have the ability to</w:t>
      </w:r>
      <w:proofErr w:type="gramEnd"/>
      <w:r>
        <w:t xml:space="preserve"> apply other restrictions to a course, many of which are used to control enrollment for reasons unrelated to academic preparedness. </w:t>
      </w:r>
      <w:r w:rsidR="00C841F4">
        <w:t xml:space="preserve">See Appendix </w:t>
      </w:r>
      <w:r w:rsidR="001613C6">
        <w:t>B</w:t>
      </w:r>
      <w:r w:rsidR="00C841F4">
        <w:t xml:space="preserve"> for more detail.</w:t>
      </w:r>
    </w:p>
    <w:p w14:paraId="2C41A18F" w14:textId="77777777" w:rsidR="0041643C" w:rsidRDefault="0041643C" w:rsidP="008A02ED"/>
    <w:p w14:paraId="6CDFAB3C" w14:textId="77777777" w:rsidR="0041643C" w:rsidRDefault="0041643C" w:rsidP="008A02ED">
      <w:pPr>
        <w:ind w:left="720" w:right="720"/>
      </w:pPr>
      <w:r w:rsidRPr="00934725">
        <w:rPr>
          <w:u w:val="single"/>
        </w:rPr>
        <w:t>Booking rule</w:t>
      </w:r>
      <w:r>
        <w:t xml:space="preserve">: Used to limit enrollment in a course based on characteristics other than those related to academic achievement and educational preparedness. </w:t>
      </w:r>
    </w:p>
    <w:p w14:paraId="5BB91727" w14:textId="77777777" w:rsidR="0041643C" w:rsidRDefault="0041643C" w:rsidP="008A02ED">
      <w:pPr>
        <w:ind w:left="720" w:right="720"/>
      </w:pPr>
    </w:p>
    <w:p w14:paraId="66BA24D5" w14:textId="70777685" w:rsidR="0041643C" w:rsidRDefault="0041643C" w:rsidP="008A02ED">
      <w:pPr>
        <w:ind w:left="720" w:right="720"/>
      </w:pPr>
      <w:r w:rsidRPr="00934725">
        <w:rPr>
          <w:u w:val="single"/>
        </w:rPr>
        <w:t>Course note</w:t>
      </w:r>
      <w:r>
        <w:t>: Provides additional information about a course. Can be used as a stand-alone note but should be used every time a booking rule is in effect so that students understand any restrictions that will limit their ability to enroll in the course</w:t>
      </w:r>
      <w:r w:rsidRPr="00F42501">
        <w:t xml:space="preserve"> </w:t>
      </w:r>
      <w:r>
        <w:t xml:space="preserve">(e.g. “junior standing or above” or restriction related to </w:t>
      </w:r>
      <w:r w:rsidR="00C841F4">
        <w:t xml:space="preserve">a certain </w:t>
      </w:r>
      <w:r>
        <w:t>major</w:t>
      </w:r>
      <w:r w:rsidR="00C841F4">
        <w:t xml:space="preserve"> or </w:t>
      </w:r>
      <w:r>
        <w:t>minor).</w:t>
      </w:r>
    </w:p>
    <w:p w14:paraId="0E23EE47" w14:textId="77777777" w:rsidR="0041643C" w:rsidRDefault="0041643C" w:rsidP="0041643C"/>
    <w:p w14:paraId="01F65792" w14:textId="77777777" w:rsidR="008A02ED" w:rsidRDefault="008A02ED">
      <w:r>
        <w:br w:type="page"/>
      </w:r>
    </w:p>
    <w:p w14:paraId="27C734B0" w14:textId="77777777" w:rsidR="008A02ED" w:rsidRPr="008A02ED" w:rsidRDefault="008A02ED" w:rsidP="008A02ED">
      <w:pPr>
        <w:jc w:val="center"/>
        <w:rPr>
          <w:b/>
          <w:bCs/>
        </w:rPr>
      </w:pPr>
      <w:r w:rsidRPr="008A02ED">
        <w:rPr>
          <w:b/>
          <w:bCs/>
        </w:rPr>
        <w:lastRenderedPageBreak/>
        <w:t>Appendix B</w:t>
      </w:r>
    </w:p>
    <w:p w14:paraId="3A25BC15" w14:textId="77777777" w:rsidR="008A02ED" w:rsidRDefault="008A02ED" w:rsidP="008A02ED">
      <w:pPr>
        <w:jc w:val="center"/>
      </w:pPr>
      <w:r>
        <w:t>Characteristics of Prerequisites, Booking Rules, and Course Notes</w:t>
      </w:r>
    </w:p>
    <w:p w14:paraId="17C1E5EE" w14:textId="77777777" w:rsidR="008A02ED" w:rsidRDefault="008A02ED" w:rsidP="008A02ED"/>
    <w:p w14:paraId="1378C6AE" w14:textId="042748BB" w:rsidR="0041643C" w:rsidRDefault="0041643C" w:rsidP="008A02ED">
      <w:r>
        <w:t xml:space="preserve">Below is a table describing the various characteristics of prerequisites, booking rules, and course notes. </w:t>
      </w:r>
      <w:r w:rsidR="000F6EFB">
        <w:t xml:space="preserve">Booking rules and course notes provide a way for units to have non-prerequisite language included in the Schedule of Classes. </w:t>
      </w:r>
      <w:r>
        <w:t xml:space="preserve">Use this table to determine if the unit </w:t>
      </w:r>
      <w:r w:rsidR="006F4007">
        <w:t xml:space="preserve">is proposing </w:t>
      </w:r>
      <w:r w:rsidR="00CF7660">
        <w:t>a p</w:t>
      </w:r>
      <w:r w:rsidR="006F4007">
        <w:t>rerequisite</w:t>
      </w:r>
      <w:r w:rsidR="00A63CB4">
        <w:t xml:space="preserve">, or if the proposal should be revised and the information instead be placed in a booking rule or course note. </w:t>
      </w:r>
    </w:p>
    <w:p w14:paraId="1B6AAD1F" w14:textId="77777777" w:rsidR="0041643C" w:rsidRDefault="0041643C" w:rsidP="008A02ED"/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4225"/>
        <w:gridCol w:w="1920"/>
        <w:gridCol w:w="1920"/>
        <w:gridCol w:w="1920"/>
      </w:tblGrid>
      <w:tr w:rsidR="0041643C" w14:paraId="0B1E1665" w14:textId="77777777" w:rsidTr="008A02ED">
        <w:trPr>
          <w:jc w:val="center"/>
        </w:trPr>
        <w:tc>
          <w:tcPr>
            <w:tcW w:w="4225" w:type="dxa"/>
          </w:tcPr>
          <w:p w14:paraId="668042AB" w14:textId="77777777" w:rsidR="0041643C" w:rsidRDefault="0041643C" w:rsidP="008A02ED"/>
        </w:tc>
        <w:tc>
          <w:tcPr>
            <w:tcW w:w="1920" w:type="dxa"/>
            <w:vAlign w:val="center"/>
          </w:tcPr>
          <w:p w14:paraId="618A941A" w14:textId="0D80DC6B" w:rsidR="0041643C" w:rsidRPr="003446B6" w:rsidRDefault="0041643C" w:rsidP="008A02ED">
            <w:pPr>
              <w:jc w:val="center"/>
              <w:rPr>
                <w:b/>
                <w:bCs/>
              </w:rPr>
            </w:pPr>
            <w:r w:rsidRPr="003446B6">
              <w:rPr>
                <w:b/>
                <w:bCs/>
              </w:rPr>
              <w:t>Prerequisite</w:t>
            </w:r>
            <w:r>
              <w:rPr>
                <w:b/>
                <w:bCs/>
              </w:rPr>
              <w:t xml:space="preserve"> (a.k.a. “extended booking rules</w:t>
            </w:r>
            <w:r w:rsidR="000F6EFB">
              <w:rPr>
                <w:b/>
                <w:bCs/>
              </w:rPr>
              <w:t>”</w:t>
            </w:r>
            <w:r>
              <w:rPr>
                <w:b/>
                <w:bCs/>
              </w:rPr>
              <w:t>)</w:t>
            </w:r>
          </w:p>
        </w:tc>
        <w:tc>
          <w:tcPr>
            <w:tcW w:w="1920" w:type="dxa"/>
            <w:vAlign w:val="center"/>
          </w:tcPr>
          <w:p w14:paraId="1C609E90" w14:textId="77777777" w:rsidR="0041643C" w:rsidRPr="003446B6" w:rsidRDefault="0041643C" w:rsidP="008A02ED">
            <w:pPr>
              <w:jc w:val="center"/>
              <w:rPr>
                <w:b/>
                <w:bCs/>
              </w:rPr>
            </w:pPr>
            <w:r w:rsidRPr="003446B6">
              <w:rPr>
                <w:b/>
                <w:bCs/>
              </w:rPr>
              <w:t>Booking Rules</w:t>
            </w:r>
          </w:p>
        </w:tc>
        <w:tc>
          <w:tcPr>
            <w:tcW w:w="1920" w:type="dxa"/>
            <w:vAlign w:val="center"/>
          </w:tcPr>
          <w:p w14:paraId="41AFAA1E" w14:textId="77777777" w:rsidR="0041643C" w:rsidRPr="003446B6" w:rsidRDefault="0041643C" w:rsidP="008A02ED">
            <w:pPr>
              <w:jc w:val="center"/>
              <w:rPr>
                <w:b/>
                <w:bCs/>
              </w:rPr>
            </w:pPr>
            <w:r w:rsidRPr="003446B6">
              <w:rPr>
                <w:b/>
                <w:bCs/>
              </w:rPr>
              <w:t xml:space="preserve">Course </w:t>
            </w:r>
            <w:r>
              <w:rPr>
                <w:b/>
                <w:bCs/>
              </w:rPr>
              <w:t>No</w:t>
            </w:r>
            <w:r w:rsidRPr="003446B6">
              <w:rPr>
                <w:b/>
                <w:bCs/>
              </w:rPr>
              <w:t>tes</w:t>
            </w:r>
          </w:p>
        </w:tc>
      </w:tr>
      <w:tr w:rsidR="000F6EFB" w14:paraId="7C96DC60" w14:textId="77777777" w:rsidTr="008A02ED">
        <w:trPr>
          <w:jc w:val="center"/>
        </w:trPr>
        <w:tc>
          <w:tcPr>
            <w:tcW w:w="4225" w:type="dxa"/>
          </w:tcPr>
          <w:p w14:paraId="3DAF9244" w14:textId="77777777" w:rsidR="000F6EFB" w:rsidRDefault="000F6EFB" w:rsidP="008A02ED">
            <w:r>
              <w:t>Requires Senate approval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38B2122" w14:textId="77777777" w:rsidR="000F6EFB" w:rsidRDefault="000F6EFB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82D471" w14:textId="77777777" w:rsidR="000F6EFB" w:rsidRDefault="000F6EFB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51CCAA4" w14:textId="77777777" w:rsidR="000F6EFB" w:rsidRDefault="000F6EFB" w:rsidP="008A02ED">
            <w:pPr>
              <w:jc w:val="center"/>
            </w:pPr>
          </w:p>
        </w:tc>
      </w:tr>
      <w:tr w:rsidR="0041643C" w14:paraId="062E1926" w14:textId="77777777" w:rsidTr="008A02ED">
        <w:trPr>
          <w:jc w:val="center"/>
        </w:trPr>
        <w:tc>
          <w:tcPr>
            <w:tcW w:w="4225" w:type="dxa"/>
          </w:tcPr>
          <w:p w14:paraId="1C4DDDD6" w14:textId="6C99D69E" w:rsidR="0041643C" w:rsidRDefault="0041643C" w:rsidP="008A02ED">
            <w:r>
              <w:t>Relates to</w:t>
            </w:r>
            <w:r w:rsidR="000F6EFB">
              <w:t xml:space="preserve"> educational achievement and academic </w:t>
            </w:r>
            <w:r>
              <w:t xml:space="preserve">preparedness </w:t>
            </w:r>
            <w:r w:rsidR="000F6EFB">
              <w:t>of the student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244169B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9243D88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E5962BF" w14:textId="77777777" w:rsidR="0041643C" w:rsidRDefault="0041643C" w:rsidP="008A02ED">
            <w:pPr>
              <w:jc w:val="center"/>
            </w:pPr>
          </w:p>
        </w:tc>
      </w:tr>
      <w:tr w:rsidR="0041643C" w14:paraId="1B11B330" w14:textId="77777777" w:rsidTr="008A02ED">
        <w:trPr>
          <w:jc w:val="center"/>
        </w:trPr>
        <w:tc>
          <w:tcPr>
            <w:tcW w:w="4225" w:type="dxa"/>
          </w:tcPr>
          <w:p w14:paraId="667B551C" w14:textId="77777777" w:rsidR="0041643C" w:rsidRDefault="0041643C" w:rsidP="008A02ED">
            <w:r>
              <w:t>Enforced for every section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47D0417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B12B5ED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7DA418E" w14:textId="77777777" w:rsidR="0041643C" w:rsidRDefault="0041643C" w:rsidP="008A02ED">
            <w:pPr>
              <w:jc w:val="center"/>
            </w:pPr>
          </w:p>
        </w:tc>
      </w:tr>
      <w:tr w:rsidR="0041643C" w14:paraId="23CC17F3" w14:textId="77777777" w:rsidTr="008A02ED">
        <w:trPr>
          <w:jc w:val="center"/>
        </w:trPr>
        <w:tc>
          <w:tcPr>
            <w:tcW w:w="4225" w:type="dxa"/>
          </w:tcPr>
          <w:p w14:paraId="111400AC" w14:textId="77777777" w:rsidR="0041643C" w:rsidRDefault="0041643C" w:rsidP="008A02ED">
            <w:r>
              <w:t>Able to restrict based on test score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6A7DDB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B6B1D50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7506F56" w14:textId="77777777" w:rsidR="0041643C" w:rsidRDefault="0041643C" w:rsidP="008A02ED">
            <w:pPr>
              <w:jc w:val="center"/>
            </w:pPr>
          </w:p>
        </w:tc>
      </w:tr>
      <w:tr w:rsidR="0041643C" w14:paraId="524DB59F" w14:textId="77777777" w:rsidTr="008A02ED">
        <w:trPr>
          <w:jc w:val="center"/>
        </w:trPr>
        <w:tc>
          <w:tcPr>
            <w:tcW w:w="4225" w:type="dxa"/>
          </w:tcPr>
          <w:p w14:paraId="67BF99B8" w14:textId="7C7FDF1B" w:rsidR="0041643C" w:rsidRDefault="00A63CB4" w:rsidP="008A02ED">
            <w:r>
              <w:t>Able to restrict based on</w:t>
            </w:r>
            <w:r w:rsidR="0041643C">
              <w:t xml:space="preserve"> completion of previous cours</w:t>
            </w:r>
            <w:r>
              <w:t>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C791CE2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D55D94E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17E3897" w14:textId="77777777" w:rsidR="0041643C" w:rsidRDefault="0041643C" w:rsidP="008A02ED">
            <w:pPr>
              <w:jc w:val="center"/>
            </w:pPr>
          </w:p>
        </w:tc>
      </w:tr>
      <w:tr w:rsidR="00A63CB4" w14:paraId="4E6EB5F3" w14:textId="77777777" w:rsidTr="008A02ED">
        <w:trPr>
          <w:jc w:val="center"/>
        </w:trPr>
        <w:tc>
          <w:tcPr>
            <w:tcW w:w="4225" w:type="dxa"/>
          </w:tcPr>
          <w:p w14:paraId="15BBDE2F" w14:textId="2014FDEA" w:rsidR="00A63CB4" w:rsidRDefault="00A63CB4" w:rsidP="008A02ED">
            <w:r>
              <w:t>Able to restrict based on achievement of specific test score (AP, SAT, etc.)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4774A8" w14:textId="3C746A21" w:rsidR="00A63CB4" w:rsidRDefault="00A63CB4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7534B17" w14:textId="77777777" w:rsidR="00A63CB4" w:rsidRDefault="00A63CB4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1748712" w14:textId="77777777" w:rsidR="00A63CB4" w:rsidRDefault="00A63CB4" w:rsidP="008A02ED">
            <w:pPr>
              <w:jc w:val="center"/>
            </w:pPr>
          </w:p>
        </w:tc>
      </w:tr>
      <w:tr w:rsidR="00A63CB4" w14:paraId="73D15969" w14:textId="77777777" w:rsidTr="008A02ED">
        <w:trPr>
          <w:jc w:val="center"/>
        </w:trPr>
        <w:tc>
          <w:tcPr>
            <w:tcW w:w="4225" w:type="dxa"/>
          </w:tcPr>
          <w:p w14:paraId="18D1F7A3" w14:textId="0D18B420" w:rsidR="00A63CB4" w:rsidRDefault="00A63CB4" w:rsidP="008A02ED">
            <w:r>
              <w:t>Able to restrict based on a student having earned a specific grade in a prior course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A15DFE3" w14:textId="591836AC" w:rsidR="00A63CB4" w:rsidRDefault="00A63CB4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43ADFBB" w14:textId="77777777" w:rsidR="00A63CB4" w:rsidRDefault="00A63CB4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1A5E1BA" w14:textId="77777777" w:rsidR="00A63CB4" w:rsidRDefault="00A63CB4" w:rsidP="008A02ED">
            <w:pPr>
              <w:jc w:val="center"/>
            </w:pPr>
          </w:p>
        </w:tc>
      </w:tr>
      <w:tr w:rsidR="0041643C" w14:paraId="62215418" w14:textId="77777777" w:rsidTr="008A02ED">
        <w:trPr>
          <w:jc w:val="center"/>
        </w:trPr>
        <w:tc>
          <w:tcPr>
            <w:tcW w:w="4225" w:type="dxa"/>
          </w:tcPr>
          <w:p w14:paraId="0A3D7A85" w14:textId="77777777" w:rsidR="0041643C" w:rsidRDefault="0041643C" w:rsidP="008A02ED">
            <w:r>
              <w:t>Carries over from one semester to another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391E70D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F59DA67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1C84D8" w14:textId="77777777" w:rsidR="0041643C" w:rsidRDefault="0041643C" w:rsidP="008A02ED">
            <w:pPr>
              <w:jc w:val="center"/>
            </w:pPr>
          </w:p>
        </w:tc>
      </w:tr>
      <w:tr w:rsidR="0041643C" w14:paraId="78AC7432" w14:textId="77777777" w:rsidTr="008A02ED">
        <w:trPr>
          <w:jc w:val="center"/>
        </w:trPr>
        <w:tc>
          <w:tcPr>
            <w:tcW w:w="4225" w:type="dxa"/>
          </w:tcPr>
          <w:p w14:paraId="33A3FFDA" w14:textId="77777777" w:rsidR="0041643C" w:rsidRDefault="0041643C" w:rsidP="008A02ED">
            <w:r>
              <w:t>Can be modified (by unit) at any time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59B0D96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8650099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5D49D88" w14:textId="77777777" w:rsidR="0041643C" w:rsidRDefault="0041643C" w:rsidP="008A02ED">
            <w:pPr>
              <w:jc w:val="center"/>
            </w:pPr>
          </w:p>
        </w:tc>
      </w:tr>
      <w:tr w:rsidR="0041643C" w14:paraId="025BD307" w14:textId="77777777" w:rsidTr="008A02ED">
        <w:trPr>
          <w:jc w:val="center"/>
        </w:trPr>
        <w:tc>
          <w:tcPr>
            <w:tcW w:w="4225" w:type="dxa"/>
          </w:tcPr>
          <w:p w14:paraId="0AF2A3DE" w14:textId="77777777" w:rsidR="0041643C" w:rsidRDefault="0041643C" w:rsidP="008A02ED">
            <w:r>
              <w:t>Has customized app in myUK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9853F50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7DA945D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77A8563" w14:textId="77777777" w:rsidR="0041643C" w:rsidRDefault="0041643C" w:rsidP="008A02ED">
            <w:pPr>
              <w:jc w:val="center"/>
            </w:pPr>
          </w:p>
        </w:tc>
      </w:tr>
      <w:tr w:rsidR="0041643C" w14:paraId="69834850" w14:textId="77777777" w:rsidTr="008A02ED">
        <w:trPr>
          <w:jc w:val="center"/>
        </w:trPr>
        <w:tc>
          <w:tcPr>
            <w:tcW w:w="4225" w:type="dxa"/>
          </w:tcPr>
          <w:p w14:paraId="17BB5F87" w14:textId="77777777" w:rsidR="0041643C" w:rsidRDefault="0041643C" w:rsidP="008A02ED">
            <w:r>
              <w:t xml:space="preserve">Allows restriction based on classification (freshman, junior, etc.) 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A4C896D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3540DABD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4144AB9" w14:textId="77777777" w:rsidR="0041643C" w:rsidRDefault="0041643C" w:rsidP="008A02ED">
            <w:pPr>
              <w:jc w:val="center"/>
            </w:pPr>
          </w:p>
        </w:tc>
      </w:tr>
      <w:tr w:rsidR="0041643C" w14:paraId="59B21A1E" w14:textId="77777777" w:rsidTr="008A02ED">
        <w:trPr>
          <w:jc w:val="center"/>
        </w:trPr>
        <w:tc>
          <w:tcPr>
            <w:tcW w:w="4225" w:type="dxa"/>
          </w:tcPr>
          <w:p w14:paraId="6C7A0C3D" w14:textId="3BDB4E87" w:rsidR="0041643C" w:rsidRDefault="0041643C" w:rsidP="008A02ED">
            <w:r>
              <w:t>Allows restriction based on enrollment in a major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1345E92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11CDBC8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B287233" w14:textId="77777777" w:rsidR="0041643C" w:rsidRDefault="0041643C" w:rsidP="008A02ED">
            <w:pPr>
              <w:jc w:val="center"/>
            </w:pPr>
          </w:p>
        </w:tc>
      </w:tr>
      <w:tr w:rsidR="0041643C" w14:paraId="2B777D46" w14:textId="77777777" w:rsidTr="008A02ED">
        <w:trPr>
          <w:jc w:val="center"/>
        </w:trPr>
        <w:tc>
          <w:tcPr>
            <w:tcW w:w="4225" w:type="dxa"/>
          </w:tcPr>
          <w:p w14:paraId="20A0DA06" w14:textId="77777777" w:rsidR="0041643C" w:rsidRDefault="0041643C" w:rsidP="008A02ED">
            <w:r>
              <w:t>Allows restriction based on enrollment in a minor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D8EBF3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DE0A5F6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4BC2A8" w14:textId="77777777" w:rsidR="0041643C" w:rsidRDefault="0041643C" w:rsidP="008A02ED">
            <w:pPr>
              <w:jc w:val="center"/>
            </w:pPr>
          </w:p>
        </w:tc>
      </w:tr>
      <w:tr w:rsidR="0041643C" w14:paraId="01077BF3" w14:textId="77777777" w:rsidTr="008A02ED">
        <w:trPr>
          <w:jc w:val="center"/>
        </w:trPr>
        <w:tc>
          <w:tcPr>
            <w:tcW w:w="4225" w:type="dxa"/>
          </w:tcPr>
          <w:p w14:paraId="220DC2E5" w14:textId="77777777" w:rsidR="0041643C" w:rsidRDefault="0041643C" w:rsidP="008A02ED">
            <w:r>
              <w:t>Allows restriction based on college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4FA8437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19AEEE3A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6F5DC0B" w14:textId="77777777" w:rsidR="0041643C" w:rsidRDefault="0041643C" w:rsidP="008A02ED">
            <w:pPr>
              <w:jc w:val="center"/>
            </w:pPr>
          </w:p>
        </w:tc>
      </w:tr>
      <w:tr w:rsidR="0041643C" w14:paraId="52FC1128" w14:textId="77777777" w:rsidTr="008A02ED">
        <w:trPr>
          <w:jc w:val="center"/>
        </w:trPr>
        <w:tc>
          <w:tcPr>
            <w:tcW w:w="4225" w:type="dxa"/>
          </w:tcPr>
          <w:p w14:paraId="172AC69D" w14:textId="77777777" w:rsidR="0041643C" w:rsidRDefault="0041643C" w:rsidP="008A02ED">
            <w:r>
              <w:t>Enforced for single section or various sections or all sections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F122464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60AEDE0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C548EED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</w:tr>
      <w:tr w:rsidR="0041643C" w14:paraId="474BCF13" w14:textId="77777777" w:rsidTr="008A02ED">
        <w:trPr>
          <w:jc w:val="center"/>
        </w:trPr>
        <w:tc>
          <w:tcPr>
            <w:tcW w:w="4225" w:type="dxa"/>
          </w:tcPr>
          <w:p w14:paraId="2B2B1D80" w14:textId="77777777" w:rsidR="0041643C" w:rsidRDefault="0041643C" w:rsidP="008A02ED">
            <w:r>
              <w:t>Describes booking rule restrictions so students are aware of limits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017758B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0F051843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1806FBF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</w:tr>
      <w:tr w:rsidR="0041643C" w14:paraId="511C8D38" w14:textId="77777777" w:rsidTr="008A02ED">
        <w:trPr>
          <w:jc w:val="center"/>
        </w:trPr>
        <w:tc>
          <w:tcPr>
            <w:tcW w:w="4225" w:type="dxa"/>
          </w:tcPr>
          <w:p w14:paraId="4253D9D4" w14:textId="77777777" w:rsidR="0041643C" w:rsidRDefault="0041643C" w:rsidP="008A02ED">
            <w:r>
              <w:t>Can be modified (upon request to Registrar) at any time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5D87043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7B57706F" w14:textId="77777777" w:rsidR="0041643C" w:rsidRDefault="0041643C" w:rsidP="008A02ED">
            <w:pPr>
              <w:jc w:val="center"/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64815812" w14:textId="77777777" w:rsidR="0041643C" w:rsidRDefault="0041643C" w:rsidP="008A02ED">
            <w:pPr>
              <w:jc w:val="center"/>
            </w:pPr>
            <w:r>
              <w:sym w:font="Wingdings" w:char="F0FC"/>
            </w:r>
          </w:p>
        </w:tc>
      </w:tr>
    </w:tbl>
    <w:p w14:paraId="4F627FA6" w14:textId="77777777" w:rsidR="0041643C" w:rsidRDefault="0041643C" w:rsidP="008A02ED"/>
    <w:p w14:paraId="10C7E923" w14:textId="77777777" w:rsidR="0041643C" w:rsidRDefault="0041643C" w:rsidP="008A02ED"/>
    <w:p w14:paraId="6047916B" w14:textId="2EDE833F" w:rsidR="0041643C" w:rsidRDefault="0041643C" w:rsidP="008A02ED">
      <w:r>
        <w:t xml:space="preserve">Access </w:t>
      </w:r>
      <w:r w:rsidR="00AF365E">
        <w:t>UK’s</w:t>
      </w:r>
      <w:r>
        <w:t xml:space="preserve"> Registrar site for detailed information: </w:t>
      </w:r>
      <w:hyperlink r:id="rId15" w:history="1">
        <w:r w:rsidRPr="00D80450">
          <w:rPr>
            <w:rStyle w:val="Hyperlink"/>
          </w:rPr>
          <w:t>https://registrar.uky.edu/course-scheduling-resources</w:t>
        </w:r>
      </w:hyperlink>
      <w:r>
        <w:t xml:space="preserve"> </w:t>
      </w:r>
    </w:p>
    <w:p w14:paraId="4B058CAE" w14:textId="77777777" w:rsidR="0041643C" w:rsidRDefault="0041643C" w:rsidP="0041643C"/>
    <w:sectPr w:rsidR="0041643C" w:rsidSect="008A02ED">
      <w:headerReference w:type="default" r:id="rId16"/>
      <w:footerReference w:type="default" r:id="rId17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0DED1" w14:textId="77777777" w:rsidR="006C3398" w:rsidRDefault="006C3398" w:rsidP="00226EB2">
      <w:r>
        <w:separator/>
      </w:r>
    </w:p>
  </w:endnote>
  <w:endnote w:type="continuationSeparator" w:id="0">
    <w:p w14:paraId="48B1FB84" w14:textId="77777777" w:rsidR="006C3398" w:rsidRDefault="006C3398" w:rsidP="0022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5D3B" w14:textId="3AE286F4" w:rsidR="006C3398" w:rsidRPr="00A93ECB" w:rsidRDefault="006C3398" w:rsidP="00A93ECB">
    <w:pPr>
      <w:pStyle w:val="Footer"/>
      <w:jc w:val="center"/>
      <w:rPr>
        <w:i/>
        <w:iCs/>
        <w:sz w:val="18"/>
        <w:szCs w:val="18"/>
      </w:rPr>
    </w:pPr>
    <w:r w:rsidRPr="00A93ECB">
      <w:rPr>
        <w:i/>
        <w:iCs/>
        <w:sz w:val="18"/>
        <w:szCs w:val="18"/>
      </w:rPr>
      <w:t xml:space="preserve">Course Checklist (revised </w:t>
    </w:r>
    <w:r w:rsidR="008D3B69">
      <w:rPr>
        <w:i/>
        <w:iCs/>
        <w:sz w:val="18"/>
        <w:szCs w:val="18"/>
      </w:rPr>
      <w:t>August</w:t>
    </w:r>
    <w:r>
      <w:rPr>
        <w:i/>
        <w:iCs/>
        <w:sz w:val="18"/>
        <w:szCs w:val="18"/>
      </w:rPr>
      <w:t xml:space="preserve"> 2023</w:t>
    </w:r>
    <w:r w:rsidRPr="00A93ECB">
      <w:rPr>
        <w:i/>
        <w:iCs/>
        <w:sz w:val="18"/>
        <w:szCs w:val="18"/>
      </w:rPr>
      <w:t>)</w:t>
    </w:r>
    <w:r w:rsidRPr="00A93ECB">
      <w:rPr>
        <w:i/>
        <w:iCs/>
        <w:sz w:val="18"/>
        <w:szCs w:val="18"/>
      </w:rPr>
      <w:tab/>
    </w:r>
    <w:r w:rsidRPr="00A93ECB">
      <w:rPr>
        <w:i/>
        <w:iCs/>
        <w:sz w:val="18"/>
        <w:szCs w:val="18"/>
      </w:rPr>
      <w:tab/>
    </w:r>
    <w:sdt>
      <w:sdtPr>
        <w:rPr>
          <w:i/>
          <w:iCs/>
          <w:sz w:val="18"/>
          <w:szCs w:val="18"/>
        </w:rPr>
        <w:id w:val="-213493747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93ECB">
              <w:rPr>
                <w:i/>
                <w:iCs/>
                <w:sz w:val="18"/>
                <w:szCs w:val="18"/>
              </w:rPr>
              <w:t xml:space="preserve">Page </w:t>
            </w:r>
            <w:r w:rsidRPr="00A93ECB">
              <w:rPr>
                <w:i/>
                <w:iCs/>
                <w:sz w:val="18"/>
                <w:szCs w:val="18"/>
              </w:rPr>
              <w:fldChar w:fldCharType="begin"/>
            </w:r>
            <w:r w:rsidRPr="00A93ECB">
              <w:rPr>
                <w:i/>
                <w:iCs/>
                <w:sz w:val="18"/>
                <w:szCs w:val="18"/>
              </w:rPr>
              <w:instrText xml:space="preserve"> PAGE </w:instrText>
            </w:r>
            <w:r w:rsidRPr="00A93ECB">
              <w:rPr>
                <w:i/>
                <w:iCs/>
                <w:sz w:val="18"/>
                <w:szCs w:val="18"/>
              </w:rPr>
              <w:fldChar w:fldCharType="separate"/>
            </w:r>
            <w:r w:rsidRPr="00A93ECB">
              <w:rPr>
                <w:i/>
                <w:iCs/>
                <w:noProof/>
                <w:sz w:val="18"/>
                <w:szCs w:val="18"/>
              </w:rPr>
              <w:t>2</w:t>
            </w:r>
            <w:r w:rsidRPr="00A93ECB">
              <w:rPr>
                <w:i/>
                <w:iCs/>
                <w:sz w:val="18"/>
                <w:szCs w:val="18"/>
              </w:rPr>
              <w:fldChar w:fldCharType="end"/>
            </w:r>
            <w:r w:rsidRPr="00A93ECB">
              <w:rPr>
                <w:i/>
                <w:iCs/>
                <w:sz w:val="18"/>
                <w:szCs w:val="18"/>
              </w:rPr>
              <w:t xml:space="preserve"> of </w:t>
            </w:r>
            <w:r w:rsidRPr="00A93ECB">
              <w:rPr>
                <w:i/>
                <w:iCs/>
                <w:sz w:val="18"/>
                <w:szCs w:val="18"/>
              </w:rPr>
              <w:fldChar w:fldCharType="begin"/>
            </w:r>
            <w:r w:rsidRPr="00A93ECB">
              <w:rPr>
                <w:i/>
                <w:iCs/>
                <w:sz w:val="18"/>
                <w:szCs w:val="18"/>
              </w:rPr>
              <w:instrText xml:space="preserve"> NUMPAGES  </w:instrText>
            </w:r>
            <w:r w:rsidRPr="00A93ECB">
              <w:rPr>
                <w:i/>
                <w:iCs/>
                <w:sz w:val="18"/>
                <w:szCs w:val="18"/>
              </w:rPr>
              <w:fldChar w:fldCharType="separate"/>
            </w:r>
            <w:r w:rsidRPr="00A93ECB">
              <w:rPr>
                <w:i/>
                <w:iCs/>
                <w:noProof/>
                <w:sz w:val="18"/>
                <w:szCs w:val="18"/>
              </w:rPr>
              <w:t>2</w:t>
            </w:r>
            <w:r w:rsidRPr="00A93ECB">
              <w:rPr>
                <w:i/>
                <w:iCs/>
                <w:sz w:val="18"/>
                <w:szCs w:val="18"/>
              </w:rPr>
              <w:fldChar w:fldCharType="end"/>
            </w:r>
          </w:sdtContent>
        </w:sdt>
      </w:sdtContent>
    </w:sdt>
  </w:p>
  <w:p w14:paraId="3ED3AECC" w14:textId="6DB0B764" w:rsidR="006C3398" w:rsidRDefault="006C3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9A26A" w14:textId="77777777" w:rsidR="006C3398" w:rsidRDefault="006C3398" w:rsidP="00226EB2">
      <w:r>
        <w:separator/>
      </w:r>
    </w:p>
  </w:footnote>
  <w:footnote w:type="continuationSeparator" w:id="0">
    <w:p w14:paraId="724B010D" w14:textId="77777777" w:rsidR="006C3398" w:rsidRDefault="006C3398" w:rsidP="00226EB2">
      <w:r>
        <w:continuationSeparator/>
      </w:r>
    </w:p>
  </w:footnote>
  <w:footnote w:id="1">
    <w:p w14:paraId="642B2FE5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This is to the best of your knowledge; advice from the council/committee can be sought.</w:t>
      </w:r>
    </w:p>
  </w:footnote>
  <w:footnote w:id="2">
    <w:p w14:paraId="68B8E2F9" w14:textId="17A3481D" w:rsidR="006C3398" w:rsidRDefault="006C3398">
      <w:pPr>
        <w:pStyle w:val="FootnoteText"/>
      </w:pPr>
      <w:bookmarkStart w:id="10" w:name="_Hlk112754131"/>
      <w:r>
        <w:rPr>
          <w:rStyle w:val="FootnoteReference"/>
        </w:rPr>
        <w:footnoteRef/>
      </w:r>
      <w:r>
        <w:t xml:space="preserve"> Enforceable prerequisites are those that are: based on a score from a recognized exam or test (ACT, etc.); based on a student having taken a UK course while enrolled at UK; or based on enrollment in a specific program. Requests to add prerequisites that are based on course section or hours of previous coursework are not enforceable and must be removed.</w:t>
      </w:r>
      <w:bookmarkEnd w:id="10"/>
      <w:r>
        <w:t xml:space="preserve"> See Appendices A &amp; B for more detail about prerequisites and how proposers can apply non-academic restrictions (based on major, student classification, etc.) outside of the Senate.</w:t>
      </w:r>
    </w:p>
  </w:footnote>
  <w:footnote w:id="3">
    <w:p w14:paraId="5C02E31F" w14:textId="393F5E4F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Syllabus does not have to list the prerequisites, but if they are listed, they must match.</w:t>
      </w:r>
    </w:p>
  </w:footnote>
  <w:footnote w:id="4">
    <w:p w14:paraId="35372658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Syllabus description </w:t>
      </w:r>
      <w:r>
        <w:rPr>
          <w:rFonts w:asciiTheme="minorHAnsi" w:hAnsiTheme="minorHAnsi" w:cstheme="minorHAnsi"/>
        </w:rPr>
        <w:t>can be longer and/or more detailed.</w:t>
      </w:r>
    </w:p>
  </w:footnote>
  <w:footnote w:id="5">
    <w:p w14:paraId="2A969E94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D3A">
        <w:t>Contact hours per credit hour vary by type. For lecture and seminars, it is a 1:1 ratio (1 hour of lecture=1 credit hour). For lab, it is 2:1 (2 hours of lab = 1 credit hour). For practicum and research, it is 3:1 (3 contact hours per week = 1 credit hour). Other types can be checked in Senate Rules</w:t>
      </w:r>
      <w:r>
        <w:t xml:space="preserve"> 10.6</w:t>
      </w:r>
      <w:r w:rsidRPr="00630D3A">
        <w:t>.</w:t>
      </w:r>
    </w:p>
  </w:footnote>
  <w:footnote w:id="6">
    <w:p w14:paraId="270F9EA0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Proposers who request repeatability also often want the course to allow multiple registrations within the same semester and may also need to have included a request for variable credit. Proposers often select variable credit and repeatability, but forget to also ask for multiple registrations within the same semester. A careful reading of the syllabus can help a reviewer realize that a proposer neglected to select all necessary options in Curriculog.</w:t>
      </w:r>
    </w:p>
  </w:footnote>
  <w:footnote w:id="7">
    <w:p w14:paraId="14680224" w14:textId="650CA5C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Effective Fall 2023, GCCR requirements have been revised and simplified.</w:t>
      </w:r>
    </w:p>
  </w:footnote>
  <w:footnote w:id="8">
    <w:p w14:paraId="28F32091" w14:textId="6D2D05DD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The syllabus template is available on the Senate’s </w:t>
      </w:r>
      <w:hyperlink r:id="rId1" w:history="1">
        <w:r w:rsidRPr="00345E03">
          <w:rPr>
            <w:rStyle w:val="Hyperlink"/>
          </w:rPr>
          <w:t>Syllabus Template</w:t>
        </w:r>
      </w:hyperlink>
      <w:r>
        <w:t xml:space="preserve"> page.</w:t>
      </w:r>
    </w:p>
  </w:footnote>
  <w:footnote w:id="9">
    <w:p w14:paraId="11BA530F" w14:textId="19989EFE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If an instructor has not yet been identified, it is reasonable to have “TBA” in these fields.</w:t>
      </w:r>
    </w:p>
  </w:footnote>
  <w:footnote w:id="10">
    <w:p w14:paraId="62BC5973" w14:textId="1A6B9E88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The Senate provides a quick link to  </w:t>
      </w:r>
      <w:hyperlink r:id="rId2" w:history="1">
        <w:r w:rsidRPr="00530F4D">
          <w:rPr>
            <w:rStyle w:val="Hyperlink"/>
          </w:rPr>
          <w:t>Bloom’s Taxonomy of Cognitive Learning (and action verbs)</w:t>
        </w:r>
      </w:hyperlink>
      <w:r>
        <w:t xml:space="preserve"> that may be appropriate for student learning outcomes.</w:t>
      </w:r>
    </w:p>
  </w:footnote>
  <w:footnote w:id="11">
    <w:p w14:paraId="0D729037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Students with an excused absence have at least one week after they return to class to produce an excuse; the instructor MUST work with the student to allow the student to complete the missed work, ideally within the same semester.</w:t>
      </w:r>
    </w:p>
  </w:footnote>
  <w:footnote w:id="12">
    <w:p w14:paraId="5F8F86A3" w14:textId="77777777" w:rsidR="006C3398" w:rsidRDefault="006C3398">
      <w:pPr>
        <w:pStyle w:val="FootnoteText"/>
      </w:pPr>
      <w:r>
        <w:rPr>
          <w:rStyle w:val="FootnoteReference"/>
        </w:rPr>
        <w:footnoteRef/>
      </w:r>
      <w:r>
        <w:t xml:space="preserve"> An attendance policy is not required, but if one is present, it cannot conflict with the Senate Rules. If a syllabus does not have an attendance policy, then one does not exist (i.e., a student cannot be penalized for absences if there is no attendance policy in the syllabus).</w:t>
      </w:r>
    </w:p>
  </w:footnote>
  <w:footnote w:id="13">
    <w:p w14:paraId="2D5148CF" w14:textId="77777777" w:rsidR="006C3398" w:rsidRDefault="006C3398" w:rsidP="00C841F4">
      <w:pPr>
        <w:pStyle w:val="FootnoteText"/>
      </w:pPr>
      <w:r>
        <w:rPr>
          <w:rStyle w:val="FootnoteReference"/>
        </w:rPr>
        <w:footnoteRef/>
      </w:r>
      <w:r>
        <w:t xml:space="preserve"> The only students not automatically subject to Prep Week are those in the following programs: MD, DMD, PharmD, and JD.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694E" w14:textId="74CBCD1F" w:rsidR="006C3398" w:rsidRPr="00A93ECB" w:rsidRDefault="006C3398" w:rsidP="00A93ECB">
    <w:pPr>
      <w:pStyle w:val="Header"/>
      <w:jc w:val="center"/>
      <w:rPr>
        <w:b/>
        <w:bCs/>
      </w:rPr>
    </w:pPr>
    <w:r w:rsidRPr="00A93ECB">
      <w:rPr>
        <w:b/>
        <w:bCs/>
      </w:rPr>
      <w:t>University Senate’s Course Proposal Checklist</w:t>
    </w:r>
  </w:p>
  <w:p w14:paraId="49890C1B" w14:textId="4CFFDBA6" w:rsidR="006C3398" w:rsidRPr="00A93ECB" w:rsidRDefault="006C3398" w:rsidP="00A93ECB">
    <w:pPr>
      <w:pStyle w:val="Header"/>
      <w:jc w:val="center"/>
    </w:pPr>
    <w:r w:rsidRPr="00A93ECB">
      <w:t>(</w:t>
    </w:r>
    <w:r>
      <w:t>f</w:t>
    </w:r>
    <w:r w:rsidRPr="00A93ECB">
      <w:t>or Proposers and Reviewers)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CB1"/>
    <w:multiLevelType w:val="hybridMultilevel"/>
    <w:tmpl w:val="87C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C58"/>
    <w:multiLevelType w:val="hybridMultilevel"/>
    <w:tmpl w:val="34A4F29C"/>
    <w:lvl w:ilvl="0" w:tplc="5D3E8EF8">
      <w:start w:val="2"/>
      <w:numFmt w:val="lowerLetter"/>
      <w:lvlText w:val="%1."/>
      <w:lvlJc w:val="left"/>
      <w:pPr>
        <w:ind w:left="79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C7D7CF3"/>
    <w:multiLevelType w:val="hybridMultilevel"/>
    <w:tmpl w:val="76B0E2AE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58572BF"/>
    <w:multiLevelType w:val="hybridMultilevel"/>
    <w:tmpl w:val="8F9A9F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B41AF"/>
    <w:multiLevelType w:val="hybridMultilevel"/>
    <w:tmpl w:val="76B0E2AE"/>
    <w:lvl w:ilvl="0" w:tplc="04090019">
      <w:start w:val="1"/>
      <w:numFmt w:val="lowerLetter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61AF423C"/>
    <w:multiLevelType w:val="hybridMultilevel"/>
    <w:tmpl w:val="488C7F84"/>
    <w:lvl w:ilvl="0" w:tplc="231899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061BF"/>
    <w:multiLevelType w:val="hybridMultilevel"/>
    <w:tmpl w:val="2AF67032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99Gt6GL7a7gk5FKnFIsxzzuadcoyVURHNwkyzOFSZu2NzaGiQUpOH1cNwDH/S93/VQzmMZ/mPeRFl2VX+XYaw==" w:salt="7NhqIfnbcWDcGeFoOvttF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B2"/>
    <w:rsid w:val="00055FE4"/>
    <w:rsid w:val="000B2E56"/>
    <w:rsid w:val="000B5C28"/>
    <w:rsid w:val="000C3C09"/>
    <w:rsid w:val="000F6EFB"/>
    <w:rsid w:val="00103869"/>
    <w:rsid w:val="001377EB"/>
    <w:rsid w:val="001613C6"/>
    <w:rsid w:val="001A3AD0"/>
    <w:rsid w:val="00226EB2"/>
    <w:rsid w:val="002333A1"/>
    <w:rsid w:val="00246B5A"/>
    <w:rsid w:val="002912E1"/>
    <w:rsid w:val="002B6D29"/>
    <w:rsid w:val="002D1A44"/>
    <w:rsid w:val="002D2007"/>
    <w:rsid w:val="00356CF0"/>
    <w:rsid w:val="0036336F"/>
    <w:rsid w:val="0041643C"/>
    <w:rsid w:val="00476FD2"/>
    <w:rsid w:val="004E30A3"/>
    <w:rsid w:val="004E78FD"/>
    <w:rsid w:val="005425A0"/>
    <w:rsid w:val="005B3D22"/>
    <w:rsid w:val="005B5D0F"/>
    <w:rsid w:val="005C3202"/>
    <w:rsid w:val="005D6B4F"/>
    <w:rsid w:val="00630D3A"/>
    <w:rsid w:val="00644E92"/>
    <w:rsid w:val="00660BDC"/>
    <w:rsid w:val="0067729E"/>
    <w:rsid w:val="006C3398"/>
    <w:rsid w:val="006F4007"/>
    <w:rsid w:val="007778ED"/>
    <w:rsid w:val="007A1FEE"/>
    <w:rsid w:val="008076C4"/>
    <w:rsid w:val="00852B02"/>
    <w:rsid w:val="00874717"/>
    <w:rsid w:val="008A02ED"/>
    <w:rsid w:val="008D3B69"/>
    <w:rsid w:val="008F5564"/>
    <w:rsid w:val="00961229"/>
    <w:rsid w:val="009B20A1"/>
    <w:rsid w:val="009D7EFE"/>
    <w:rsid w:val="00A63CB4"/>
    <w:rsid w:val="00A742F8"/>
    <w:rsid w:val="00A93ECB"/>
    <w:rsid w:val="00AF365E"/>
    <w:rsid w:val="00AF6DF0"/>
    <w:rsid w:val="00B25410"/>
    <w:rsid w:val="00B31E60"/>
    <w:rsid w:val="00BA11FC"/>
    <w:rsid w:val="00BA5DA3"/>
    <w:rsid w:val="00BC4BC2"/>
    <w:rsid w:val="00BC4DD3"/>
    <w:rsid w:val="00BC74DF"/>
    <w:rsid w:val="00C62B2A"/>
    <w:rsid w:val="00C841F4"/>
    <w:rsid w:val="00CC0713"/>
    <w:rsid w:val="00CD29AE"/>
    <w:rsid w:val="00CF7660"/>
    <w:rsid w:val="00D004C2"/>
    <w:rsid w:val="00D120E4"/>
    <w:rsid w:val="00D97E29"/>
    <w:rsid w:val="00DC05B7"/>
    <w:rsid w:val="00E04AE3"/>
    <w:rsid w:val="00E52ECE"/>
    <w:rsid w:val="00E70F9A"/>
    <w:rsid w:val="00EC4B04"/>
    <w:rsid w:val="00F450A3"/>
    <w:rsid w:val="00FB71FE"/>
    <w:rsid w:val="00FF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68AA5C"/>
  <w15:chartTrackingRefBased/>
  <w15:docId w15:val="{297E0D4B-567E-488C-88DB-9BCB66F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5D0F"/>
    <w:rPr>
      <w:rFonts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26EB2"/>
    <w:pPr>
      <w:spacing w:after="200" w:line="276" w:lineRule="auto"/>
    </w:pPr>
    <w:rPr>
      <w:rFonts w:eastAsia="Calibr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6EB2"/>
    <w:rPr>
      <w:rFonts w:eastAsia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226E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6E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6E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76C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D3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D3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D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3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ECB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93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ECB"/>
    <w:rPr>
      <w:rFonts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B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B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B02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2B02"/>
    <w:rPr>
      <w:rFonts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B0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4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y.edu/registrar/content/academic-calendar" TargetMode="External"/><Relationship Id="rId13" Type="http://schemas.openxmlformats.org/officeDocument/2006/relationships/hyperlink" Target="https://www.uky.edu/universitysenate/acad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ky.edu/universitysenate/student-resourc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y.edu/universitysenate/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strar.uky.edu/course-scheduling-resources" TargetMode="External"/><Relationship Id="rId10" Type="http://schemas.openxmlformats.org/officeDocument/2006/relationships/hyperlink" Target="https://www.uky.edu/universitysenate/syllabus-de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ky.edu/universitysenate/syllabus-dei" TargetMode="External"/><Relationship Id="rId14" Type="http://schemas.openxmlformats.org/officeDocument/2006/relationships/hyperlink" Target="https://www.uky.edu/registrar/content/academic-calenda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ky.edu/universitysenate/blooms-taxonomy-cognitive-learning" TargetMode="External"/><Relationship Id="rId1" Type="http://schemas.openxmlformats.org/officeDocument/2006/relationships/hyperlink" Target="https://www.uky.edu/universitysenate/syllabus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AE80-C4F0-41D3-80D7-CB49E57BB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Brothers, Sheila C.</dc:creator>
  <cp:keywords/>
  <dc:description/>
  <cp:lastModifiedBy>Brothers, Sheila C.</cp:lastModifiedBy>
  <cp:revision>3</cp:revision>
  <cp:lastPrinted>2023-06-29T12:39:00Z</cp:lastPrinted>
  <dcterms:created xsi:type="dcterms:W3CDTF">2023-08-14T19:33:00Z</dcterms:created>
  <dcterms:modified xsi:type="dcterms:W3CDTF">2023-08-14T19:34:00Z</dcterms:modified>
</cp:coreProperties>
</file>